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4E5A6" w14:textId="77777777" w:rsidR="001B34FC" w:rsidRDefault="001B34FC" w:rsidP="001B34FC">
      <w:pPr>
        <w:pStyle w:val="Heading1"/>
      </w:pPr>
      <w:bookmarkStart w:id="0" w:name="_Toc468807084"/>
      <w:r w:rsidRPr="00320EF3">
        <w:t>INTM</w:t>
      </w:r>
      <w:r>
        <w:t>559</w:t>
      </w:r>
      <w:r w:rsidRPr="00320EF3">
        <w:t>4</w:t>
      </w:r>
      <w:r>
        <w:t>1</w:t>
      </w:r>
      <w:r w:rsidRPr="00320EF3">
        <w:t xml:space="preserve">0: </w:t>
      </w:r>
      <w:r>
        <w:t>Hybrids: Imported mismatches (Chapter 11)</w:t>
      </w:r>
      <w:r w:rsidRPr="00320EF3">
        <w:t>: Example</w:t>
      </w:r>
      <w:r>
        <w:t>s</w:t>
      </w:r>
      <w:r w:rsidRPr="00320EF3">
        <w:t xml:space="preserve">: </w:t>
      </w:r>
      <w:r>
        <w:t>Manufactured r</w:t>
      </w:r>
      <w:r w:rsidRPr="00320EF3">
        <w:t>oyalty</w:t>
      </w:r>
      <w:bookmarkEnd w:id="0"/>
    </w:p>
    <w:p w14:paraId="61EACF7E" w14:textId="77777777" w:rsidR="001B34FC" w:rsidRPr="00771D50" w:rsidRDefault="001B34FC" w:rsidP="001B34FC">
      <w:pPr>
        <w:pStyle w:val="BodyText"/>
      </w:pPr>
    </w:p>
    <w:p w14:paraId="08270BD7" w14:textId="77777777" w:rsidR="001B34FC" w:rsidRPr="00320EF3" w:rsidRDefault="001B34FC" w:rsidP="001B34FC">
      <w:pPr>
        <w:pStyle w:val="BodyText"/>
      </w:pPr>
      <w:r w:rsidRPr="00DE41B8">
        <w:rPr>
          <w:noProof/>
        </w:rPr>
        <w:drawing>
          <wp:inline distT="0" distB="0" distL="0" distR="0" wp14:anchorId="7A224133" wp14:editId="0F2C3179">
            <wp:extent cx="4420925" cy="3538117"/>
            <wp:effectExtent l="0" t="0" r="0" b="5715"/>
            <wp:docPr id="25" name="Picture 25" descr="•A Co is a company resident in Country W&#10;•B Co is a company resident in Country Y, and A Co owns its entire shareholding &#10;•C Co is a company resident in Country Z, and B Co owns its entire shareholding &#10;•D1 Co is a corporate entity established and resident in Country X, with A Co as its sole member &#10;•D1 Co is regarded as transparent in Country X but opaque by Country W. As such its profits are subject to tax in neither Country X nor Country W&#10;•D2 Co is a company resident in Country X, and D1 Co owns its entire shareholding &#10;•This group (including A Co, B Co, C Co, D1 Co and D2 Co) holds intellectual property (IP) in D1 Co &#10;•D1 Co grants a licence to D2 Co to exploit that IP in exchange for royalties&#10;•B Co produces and sells goods exploiting the IP - granted by D2 Co in exchange for royalties&#10;•B Co sells some of those goods to C Co&#10;•Country Z grants C Co a deduction for the cost of those goods purchased, which includes an amount that can be attributed to the IP&#10;•Country Y subjects B Co to tax on the corresponding receipt, but its profits are reduced by a deduction corresponding to the royalty paid to D2 Co&#10;•D2 Co, in turn, pays D1 Co a royalty under the licence agreement, for which Country X allows a deduction.&#10;" title="INTM559410: Hybrids: Chapter 11 - Imported mismatches: Examples: Manufactured royal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52" cy="3546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FDDC45" w14:textId="77777777" w:rsidR="001B34FC" w:rsidRDefault="001B34FC" w:rsidP="001B34FC">
      <w:pPr>
        <w:pStyle w:val="Heading2"/>
      </w:pPr>
      <w:bookmarkStart w:id="1" w:name="_Toc468807085"/>
      <w:r w:rsidRPr="00B43889">
        <w:t>Background</w:t>
      </w:r>
      <w:bookmarkEnd w:id="1"/>
    </w:p>
    <w:p w14:paraId="11F82081" w14:textId="77777777" w:rsidR="001B34FC" w:rsidRPr="00DE41B8" w:rsidRDefault="001B34FC" w:rsidP="001B34FC">
      <w:pPr>
        <w:pStyle w:val="ListBullet"/>
        <w:numPr>
          <w:ilvl w:val="0"/>
          <w:numId w:val="1"/>
        </w:numPr>
      </w:pPr>
      <w:r w:rsidRPr="00320EF3">
        <w:t>A Co is a company resident in Country W</w:t>
      </w:r>
    </w:p>
    <w:p w14:paraId="7703BBBE" w14:textId="77777777" w:rsidR="001B34FC" w:rsidRPr="00DE41B8" w:rsidRDefault="001B34FC" w:rsidP="001B34FC">
      <w:pPr>
        <w:pStyle w:val="ListBullet"/>
        <w:numPr>
          <w:ilvl w:val="0"/>
          <w:numId w:val="1"/>
        </w:numPr>
      </w:pPr>
      <w:r w:rsidRPr="00320EF3">
        <w:t xml:space="preserve">B Co is a company resident in Country Y, and A Co owns its entire shareholding </w:t>
      </w:r>
    </w:p>
    <w:p w14:paraId="654661C8" w14:textId="77777777" w:rsidR="001B34FC" w:rsidRPr="00DE41B8" w:rsidRDefault="001B34FC" w:rsidP="001B34FC">
      <w:pPr>
        <w:pStyle w:val="ListBullet"/>
        <w:numPr>
          <w:ilvl w:val="0"/>
          <w:numId w:val="1"/>
        </w:numPr>
      </w:pPr>
      <w:r w:rsidRPr="00320EF3">
        <w:t xml:space="preserve">C Co is a company resident in Country Z, and B Co owns its entire shareholding </w:t>
      </w:r>
    </w:p>
    <w:p w14:paraId="582215F0" w14:textId="77777777" w:rsidR="001B34FC" w:rsidRPr="00DE41B8" w:rsidRDefault="001B34FC" w:rsidP="001B34FC">
      <w:pPr>
        <w:pStyle w:val="ListBullet"/>
        <w:numPr>
          <w:ilvl w:val="0"/>
          <w:numId w:val="1"/>
        </w:numPr>
      </w:pPr>
      <w:r w:rsidRPr="00320EF3">
        <w:t xml:space="preserve">D1 Co is a corporate entity established and resident in Country X, with A Co as its sole member </w:t>
      </w:r>
    </w:p>
    <w:p w14:paraId="2EB081B0" w14:textId="77777777" w:rsidR="001B34FC" w:rsidRPr="00DE41B8" w:rsidRDefault="001B34FC" w:rsidP="001B34FC">
      <w:pPr>
        <w:pStyle w:val="ListBullet"/>
        <w:numPr>
          <w:ilvl w:val="0"/>
          <w:numId w:val="1"/>
        </w:numPr>
      </w:pPr>
      <w:r w:rsidRPr="00320EF3">
        <w:t>D1 Co is regarded as transparent in Country X but opaque by Country W.</w:t>
      </w:r>
      <w:r w:rsidRPr="00DE41B8">
        <w:t xml:space="preserve"> As such its profits are subject to tax in neither Country X nor Country W</w:t>
      </w:r>
    </w:p>
    <w:p w14:paraId="446C0D30" w14:textId="77777777" w:rsidR="001B34FC" w:rsidRPr="00DE41B8" w:rsidRDefault="001B34FC" w:rsidP="001B34FC">
      <w:pPr>
        <w:pStyle w:val="ListBullet"/>
        <w:numPr>
          <w:ilvl w:val="0"/>
          <w:numId w:val="1"/>
        </w:numPr>
      </w:pPr>
      <w:r w:rsidRPr="00320EF3">
        <w:t xml:space="preserve">D2 Co is a company resident in Country X, and D1 Co owns its entire shareholding </w:t>
      </w:r>
    </w:p>
    <w:p w14:paraId="0042B286" w14:textId="77777777" w:rsidR="001B34FC" w:rsidRPr="00DE41B8" w:rsidRDefault="001B34FC" w:rsidP="001B34FC">
      <w:pPr>
        <w:pStyle w:val="ListBullet"/>
        <w:numPr>
          <w:ilvl w:val="0"/>
          <w:numId w:val="1"/>
        </w:numPr>
      </w:pPr>
      <w:r w:rsidRPr="00320EF3">
        <w:t xml:space="preserve">This group (including A Co, B Co, C Co, D1 Co and D2 Co) holds intellectual property (IP) in D1 Co </w:t>
      </w:r>
    </w:p>
    <w:p w14:paraId="19C7681E" w14:textId="77777777" w:rsidR="001B34FC" w:rsidRPr="00DE41B8" w:rsidRDefault="001B34FC" w:rsidP="001B34FC">
      <w:pPr>
        <w:pStyle w:val="ListBullet"/>
        <w:numPr>
          <w:ilvl w:val="0"/>
          <w:numId w:val="1"/>
        </w:numPr>
      </w:pPr>
      <w:r w:rsidRPr="00320EF3">
        <w:t>D1 Co grants a licence to D2 Co to exploit that IP in exchange for royalties</w:t>
      </w:r>
    </w:p>
    <w:p w14:paraId="11F20B8A" w14:textId="77777777" w:rsidR="001B34FC" w:rsidRPr="00DE41B8" w:rsidRDefault="001B34FC" w:rsidP="001B34FC">
      <w:pPr>
        <w:pStyle w:val="ListBullet"/>
        <w:numPr>
          <w:ilvl w:val="0"/>
          <w:numId w:val="1"/>
        </w:numPr>
      </w:pPr>
      <w:r w:rsidRPr="00320EF3">
        <w:lastRenderedPageBreak/>
        <w:t>B Co produces and sells goods exploiting the IP - granted by D2 Co in exchange for royalties</w:t>
      </w:r>
    </w:p>
    <w:p w14:paraId="0DB1574D" w14:textId="77777777" w:rsidR="001B34FC" w:rsidRPr="00DE41B8" w:rsidRDefault="001B34FC" w:rsidP="001B34FC">
      <w:pPr>
        <w:pStyle w:val="ListBullet"/>
        <w:numPr>
          <w:ilvl w:val="0"/>
          <w:numId w:val="1"/>
        </w:numPr>
      </w:pPr>
      <w:r w:rsidRPr="00320EF3">
        <w:t>B Co sells some of those goods to C Co</w:t>
      </w:r>
    </w:p>
    <w:p w14:paraId="676EEA69" w14:textId="77777777" w:rsidR="001B34FC" w:rsidRPr="00DE41B8" w:rsidRDefault="001B34FC" w:rsidP="001B34FC">
      <w:pPr>
        <w:pStyle w:val="ListBullet"/>
        <w:numPr>
          <w:ilvl w:val="0"/>
          <w:numId w:val="1"/>
        </w:numPr>
      </w:pPr>
      <w:r w:rsidRPr="00320EF3">
        <w:t>Country Z grants C Co a deduction for the cost of those goods purchased, which includes an amount that can be attributed to the IP</w:t>
      </w:r>
    </w:p>
    <w:p w14:paraId="2523AE72" w14:textId="77777777" w:rsidR="001B34FC" w:rsidRPr="00DE41B8" w:rsidRDefault="001B34FC" w:rsidP="001B34FC">
      <w:pPr>
        <w:pStyle w:val="ListBullet"/>
        <w:numPr>
          <w:ilvl w:val="0"/>
          <w:numId w:val="1"/>
        </w:numPr>
      </w:pPr>
      <w:r w:rsidRPr="00320EF3">
        <w:t>Country Y subjects B Co to tax on the corresponding receipt, but its profits are reduced by a deduction corresponding to the royalty paid to D2 Co</w:t>
      </w:r>
    </w:p>
    <w:p w14:paraId="64E81178" w14:textId="77777777" w:rsidR="001B34FC" w:rsidRPr="00DE41B8" w:rsidRDefault="001B34FC" w:rsidP="001B34FC">
      <w:pPr>
        <w:pStyle w:val="ListBullet"/>
        <w:numPr>
          <w:ilvl w:val="0"/>
          <w:numId w:val="1"/>
        </w:numPr>
      </w:pPr>
      <w:r w:rsidRPr="00320EF3">
        <w:t>D2 Co, in turn, pays D1 Co a royalty under the licence agreement, for which Country X allows a deduction.</w:t>
      </w:r>
    </w:p>
    <w:p w14:paraId="35F3226E" w14:textId="77777777" w:rsidR="001B34FC" w:rsidRPr="00320EF3" w:rsidRDefault="001B34FC" w:rsidP="001B34FC">
      <w:pPr>
        <w:pStyle w:val="BodyText"/>
        <w:numPr>
          <w:ilvl w:val="0"/>
          <w:numId w:val="1"/>
        </w:numPr>
      </w:pPr>
      <w:r>
        <w:t>As D1 Co is</w:t>
      </w:r>
      <w:r w:rsidRPr="00320EF3">
        <w:t xml:space="preserve"> treated as transparent in Country X but opaque in Country W, D1 Co is in effect a hybrid payee</w:t>
      </w:r>
      <w:r>
        <w:t xml:space="preserve">.  Chapter 7 may have applied if </w:t>
      </w:r>
      <w:r w:rsidRPr="00320EF3">
        <w:t xml:space="preserve">the UK </w:t>
      </w:r>
      <w:r>
        <w:t xml:space="preserve">were </w:t>
      </w:r>
      <w:r w:rsidRPr="00320EF3">
        <w:t>Country X or Country W.</w:t>
      </w:r>
    </w:p>
    <w:p w14:paraId="4B7C96C6" w14:textId="77777777" w:rsidR="001B34FC" w:rsidRDefault="001B34FC" w:rsidP="001B34FC">
      <w:pPr>
        <w:pStyle w:val="Heading2"/>
        <w:rPr>
          <w:b w:val="0"/>
          <w:bCs w:val="0"/>
          <w:sz w:val="24"/>
          <w:szCs w:val="24"/>
        </w:rPr>
      </w:pPr>
      <w:r w:rsidRPr="00DB23EE">
        <w:rPr>
          <w:b w:val="0"/>
          <w:bCs w:val="0"/>
          <w:sz w:val="24"/>
          <w:szCs w:val="24"/>
        </w:rPr>
        <w:t xml:space="preserve">For the purposes of this example, however, the UK is not Country X or Country W, as neither Country X nor Country W have rules based on the OECD  Final Report on Neutralising the Effects of Hybrid Mismatch Arrangements published by on 5 October 2015 or any replacement or supplementary publication </w:t>
      </w:r>
      <w:bookmarkStart w:id="2" w:name="_Toc468807086"/>
    </w:p>
    <w:p w14:paraId="05B10858" w14:textId="77777777" w:rsidR="001B34FC" w:rsidRPr="00DB23EE" w:rsidRDefault="001B34FC" w:rsidP="001B34FC">
      <w:pPr>
        <w:pStyle w:val="Heading2"/>
        <w:rPr>
          <w:b w:val="0"/>
          <w:bCs w:val="0"/>
          <w:sz w:val="24"/>
          <w:szCs w:val="24"/>
        </w:rPr>
      </w:pPr>
      <w:r w:rsidRPr="00320EF3">
        <w:t>Analysis - Applying the tests in s</w:t>
      </w:r>
      <w:r>
        <w:t>259</w:t>
      </w:r>
      <w:r w:rsidRPr="00320EF3">
        <w:t>KA TIOPA 2010</w:t>
      </w:r>
      <w:bookmarkEnd w:id="2"/>
      <w:r w:rsidRPr="00320EF3">
        <w:t xml:space="preserve"> </w:t>
      </w:r>
    </w:p>
    <w:p w14:paraId="7399C659" w14:textId="77777777" w:rsidR="001B34FC" w:rsidRPr="00320EF3" w:rsidRDefault="001B34FC" w:rsidP="001B34FC">
      <w:pPr>
        <w:pStyle w:val="BodyText"/>
      </w:pPr>
      <w:r w:rsidRPr="00320EF3">
        <w:t xml:space="preserve">Are the relevant conditions satisfied to bring this example within the scope of the </w:t>
      </w:r>
      <w:r>
        <w:t>i</w:t>
      </w:r>
      <w:r w:rsidRPr="00320EF3">
        <w:t xml:space="preserve">mported </w:t>
      </w:r>
      <w:r>
        <w:t>m</w:t>
      </w:r>
      <w:r w:rsidRPr="00320EF3">
        <w:t>ismatches rules?</w:t>
      </w:r>
    </w:p>
    <w:p w14:paraId="6D5B2EE1" w14:textId="77777777" w:rsidR="001B34FC" w:rsidRPr="00B43889" w:rsidRDefault="001B34FC" w:rsidP="001B34FC">
      <w:pPr>
        <w:pStyle w:val="Heading3"/>
      </w:pPr>
      <w:bookmarkStart w:id="3" w:name="_Toc468807087"/>
      <w:r w:rsidRPr="00B43889">
        <w:t>Condition A: Are there payments or quasi-payments made under, or in connection with, an arrangement?</w:t>
      </w:r>
      <w:bookmarkEnd w:id="3"/>
    </w:p>
    <w:p w14:paraId="5E2252F7" w14:textId="77777777" w:rsidR="001B34FC" w:rsidRPr="00320EF3" w:rsidRDefault="001B34FC" w:rsidP="001B34FC">
      <w:pPr>
        <w:pStyle w:val="BodyText"/>
      </w:pPr>
      <w:r w:rsidRPr="00320EF3">
        <w:t>Both the royalty paid by B Co to D2 Co (the B/D2 arrangement) and the payment (including an element of royalty) from C Co to B Co (the C/B arrangement) are payments made under, or in connection with, an arrangement.</w:t>
      </w:r>
    </w:p>
    <w:p w14:paraId="65D5B6DA" w14:textId="77777777" w:rsidR="001B34FC" w:rsidRPr="00320EF3" w:rsidRDefault="001B34FC" w:rsidP="001B34FC">
      <w:pPr>
        <w:pStyle w:val="BodyText"/>
      </w:pPr>
      <w:r w:rsidRPr="00320EF3">
        <w:t xml:space="preserve">Condition A is satisfied. </w:t>
      </w:r>
    </w:p>
    <w:p w14:paraId="52D4C354" w14:textId="77777777" w:rsidR="001B34FC" w:rsidRPr="00B43889" w:rsidRDefault="001B34FC" w:rsidP="001B34FC">
      <w:pPr>
        <w:pStyle w:val="Heading3"/>
      </w:pPr>
      <w:bookmarkStart w:id="4" w:name="_Toc468807088"/>
      <w:r w:rsidRPr="00B43889">
        <w:t>Condition B: Is the payer in relation to that imported mismatch arrangement within the charge to corporation tax for a relevant payment period?</w:t>
      </w:r>
      <w:bookmarkEnd w:id="4"/>
    </w:p>
    <w:p w14:paraId="47564A34" w14:textId="77777777" w:rsidR="001B34FC" w:rsidRPr="00320EF3" w:rsidRDefault="001B34FC" w:rsidP="001B34FC">
      <w:pPr>
        <w:pStyle w:val="BodyText"/>
      </w:pPr>
      <w:r w:rsidRPr="00320EF3">
        <w:t xml:space="preserve">Where the UK is Country Y, B Co is a payer in relation to the B/D2 arrangement and is within the charge to corporation tax. </w:t>
      </w:r>
    </w:p>
    <w:p w14:paraId="54697AD1" w14:textId="77777777" w:rsidR="001B34FC" w:rsidRPr="00320EF3" w:rsidRDefault="001B34FC" w:rsidP="001B34FC">
      <w:pPr>
        <w:pStyle w:val="BodyText"/>
      </w:pPr>
      <w:r w:rsidRPr="00320EF3">
        <w:t xml:space="preserve">Where the UK is Country Z, C Co is a payer in relation to the C/B arrangement and is within the charge to corporation tax. </w:t>
      </w:r>
    </w:p>
    <w:p w14:paraId="6D997A2A" w14:textId="77777777" w:rsidR="001B34FC" w:rsidRPr="00320EF3" w:rsidRDefault="001B34FC" w:rsidP="001B34FC">
      <w:pPr>
        <w:pStyle w:val="BodyText"/>
      </w:pPr>
      <w:r w:rsidRPr="00320EF3">
        <w:t xml:space="preserve">Condition B </w:t>
      </w:r>
      <w:r>
        <w:t>is</w:t>
      </w:r>
      <w:r w:rsidRPr="00320EF3">
        <w:t xml:space="preserve"> satisfied.</w:t>
      </w:r>
    </w:p>
    <w:p w14:paraId="33F0A015" w14:textId="77777777" w:rsidR="001B34FC" w:rsidRPr="00B43889" w:rsidRDefault="001B34FC" w:rsidP="001B34FC">
      <w:pPr>
        <w:pStyle w:val="Heading3"/>
      </w:pPr>
      <w:bookmarkStart w:id="5" w:name="_Toc468807089"/>
      <w:r w:rsidRPr="00B43889">
        <w:lastRenderedPageBreak/>
        <w:t>Condition C: Is this arrangement one of a number of arrangements which are each entered into in pursuance of, or in relation to, an over-arching arrangemen</w:t>
      </w:r>
      <w:r>
        <w:t>t</w:t>
      </w:r>
      <w:r w:rsidRPr="00B43889">
        <w:t xml:space="preserve"> (a</w:t>
      </w:r>
      <w:r>
        <w:t xml:space="preserve"> </w:t>
      </w:r>
      <w:r w:rsidRPr="00B43889">
        <w:t>series of arrangements)?</w:t>
      </w:r>
      <w:bookmarkEnd w:id="5"/>
    </w:p>
    <w:p w14:paraId="313A252A" w14:textId="77777777" w:rsidR="001B34FC" w:rsidRPr="00320EF3" w:rsidRDefault="001B34FC" w:rsidP="001B34FC">
      <w:pPr>
        <w:pStyle w:val="BodyText"/>
      </w:pPr>
      <w:r w:rsidRPr="00320EF3">
        <w:t>As identified in Condition A the royalty paid by B Co to D2 Co, and the payment (including the element of royalty) from C Co to B Co</w:t>
      </w:r>
      <w:r>
        <w:t>,</w:t>
      </w:r>
      <w:r w:rsidRPr="00320EF3">
        <w:t xml:space="preserve"> are relevant arrangements, and both of these form a number of related arrangements that includes the royalty payment from D2 Co to D1 Co. </w:t>
      </w:r>
    </w:p>
    <w:p w14:paraId="1EB08670" w14:textId="77777777" w:rsidR="001B34FC" w:rsidRPr="00320EF3" w:rsidRDefault="001B34FC" w:rsidP="001B34FC">
      <w:pPr>
        <w:pStyle w:val="BodyText"/>
      </w:pPr>
      <w:r w:rsidRPr="00320EF3">
        <w:t>The over-arching arrangement here, as defined in s259KA(5), includes the payment from C Co to B Co, the royalty payment from B Co to D2 Co and the royalty payment from D2 Co to D1 Co.</w:t>
      </w:r>
    </w:p>
    <w:p w14:paraId="752249C8" w14:textId="77777777" w:rsidR="001B34FC" w:rsidRPr="00320EF3" w:rsidRDefault="001B34FC" w:rsidP="001B34FC">
      <w:pPr>
        <w:pStyle w:val="BodyText"/>
      </w:pPr>
      <w:r w:rsidRPr="00320EF3">
        <w:t xml:space="preserve">Condition C </w:t>
      </w:r>
      <w:r>
        <w:t xml:space="preserve">is </w:t>
      </w:r>
      <w:r w:rsidRPr="00320EF3">
        <w:t>satisfied for either the B</w:t>
      </w:r>
      <w:r>
        <w:t xml:space="preserve"> Co to </w:t>
      </w:r>
      <w:r w:rsidRPr="00320EF3">
        <w:t>D2 arrangement or the C</w:t>
      </w:r>
      <w:r>
        <w:t xml:space="preserve"> Co to </w:t>
      </w:r>
      <w:r w:rsidRPr="00320EF3">
        <w:t xml:space="preserve">B </w:t>
      </w:r>
      <w:r>
        <w:t xml:space="preserve">Co </w:t>
      </w:r>
      <w:r w:rsidRPr="00320EF3">
        <w:t>arrangement in relation to the royalty payment from D2 Co to D1 Co.</w:t>
      </w:r>
    </w:p>
    <w:p w14:paraId="3F75685B" w14:textId="77777777" w:rsidR="001B34FC" w:rsidRPr="00B43889" w:rsidRDefault="001B34FC" w:rsidP="001B34FC">
      <w:pPr>
        <w:pStyle w:val="Heading3"/>
      </w:pPr>
      <w:bookmarkStart w:id="6" w:name="_Toc468807090"/>
      <w:r w:rsidRPr="00B43889">
        <w:t xml:space="preserve">Condition D: </w:t>
      </w:r>
      <w:r>
        <w:t>Is there a relevant mismatch</w:t>
      </w:r>
      <w:r w:rsidRPr="00B43889">
        <w:t>?</w:t>
      </w:r>
      <w:bookmarkEnd w:id="6"/>
    </w:p>
    <w:p w14:paraId="163137B7" w14:textId="77777777" w:rsidR="001B34FC" w:rsidRPr="00320EF3" w:rsidRDefault="001B34FC" w:rsidP="001B34FC">
      <w:pPr>
        <w:pStyle w:val="BodyText"/>
      </w:pPr>
      <w:r w:rsidRPr="00320EF3">
        <w:t xml:space="preserve">As D1 Co </w:t>
      </w:r>
      <w:r>
        <w:t>i</w:t>
      </w:r>
      <w:r w:rsidRPr="00320EF3">
        <w:t xml:space="preserve">s transparent in Country X but opaque in Country W, D1 Co is a hybrid </w:t>
      </w:r>
      <w:r>
        <w:t>entity and would</w:t>
      </w:r>
      <w:r w:rsidRPr="00320EF3">
        <w:t xml:space="preserve"> have been subject to the rules in Chapter 7 TIOPA 2010. </w:t>
      </w:r>
    </w:p>
    <w:p w14:paraId="793313FC" w14:textId="77777777" w:rsidR="001B34FC" w:rsidRPr="00320EF3" w:rsidRDefault="001B34FC" w:rsidP="001B34FC">
      <w:pPr>
        <w:pStyle w:val="BodyText"/>
      </w:pPr>
      <w:r w:rsidRPr="00320EF3">
        <w:t xml:space="preserve">The relevant arrangement in the series is therefore the royalty paid from D2 Co to D1 Co and the mismatch </w:t>
      </w:r>
      <w:r>
        <w:t xml:space="preserve">payment </w:t>
      </w:r>
      <w:r w:rsidRPr="00320EF3">
        <w:t>would be a hybrid payee deduction/non-inclusion mismatch within Chapter 7.</w:t>
      </w:r>
    </w:p>
    <w:p w14:paraId="3792A6B4" w14:textId="77777777" w:rsidR="001B34FC" w:rsidRPr="00320EF3" w:rsidRDefault="001B34FC" w:rsidP="001B34FC">
      <w:pPr>
        <w:pStyle w:val="BodyText"/>
      </w:pPr>
      <w:r w:rsidRPr="00320EF3">
        <w:t>Condition D is</w:t>
      </w:r>
      <w:r>
        <w:t xml:space="preserve"> </w:t>
      </w:r>
      <w:r w:rsidRPr="00320EF3">
        <w:t>satisfied in respect of the royalty paid from D2 Co to D1 Co.</w:t>
      </w:r>
    </w:p>
    <w:p w14:paraId="1012207C" w14:textId="77777777" w:rsidR="001B34FC" w:rsidRPr="00320EF3" w:rsidRDefault="001B34FC" w:rsidP="001B34FC">
      <w:pPr>
        <w:pStyle w:val="BodyText"/>
      </w:pPr>
      <w:r w:rsidRPr="00320EF3">
        <w:t>The relevant mismatch is the extent of the mismatch as computed under Chapter 7.</w:t>
      </w:r>
    </w:p>
    <w:p w14:paraId="2274E767" w14:textId="77777777" w:rsidR="001B34FC" w:rsidRPr="00B43889" w:rsidRDefault="001B34FC" w:rsidP="001B34FC">
      <w:pPr>
        <w:pStyle w:val="Heading3"/>
        <w:spacing w:before="0"/>
      </w:pPr>
      <w:bookmarkStart w:id="7" w:name="_Toc468807091"/>
      <w:r>
        <w:t xml:space="preserve">Condition E: After amendment in Finance Act 2021, Condition E is whether it is it reasonable to suppose that the relevant mismatch is not capable of counteraction?  </w:t>
      </w:r>
      <w:bookmarkEnd w:id="7"/>
    </w:p>
    <w:p w14:paraId="79DE104A" w14:textId="77777777" w:rsidR="001B34FC" w:rsidRPr="00320EF3" w:rsidRDefault="001B34FC" w:rsidP="001B34FC">
      <w:pPr>
        <w:pStyle w:val="BodyText"/>
      </w:pPr>
      <w:r>
        <w:t xml:space="preserve">Neither Country W nor Country X is OECD mismatch compliant as they have not adopted rules based on the OECD’s Final Report on Neutralising the Effects of Hybrid Mismatch Arrangements published on 5 October 2015 or any replacement or supplementary publication </w:t>
      </w:r>
      <w:r w:rsidRPr="00320EF3">
        <w:t xml:space="preserve">Condition E is satisfied. </w:t>
      </w:r>
    </w:p>
    <w:p w14:paraId="5723D7B9" w14:textId="77777777" w:rsidR="001B34FC" w:rsidRPr="00E072A3" w:rsidRDefault="001B34FC" w:rsidP="001B34FC">
      <w:pPr>
        <w:pStyle w:val="Heading3"/>
      </w:pPr>
      <w:bookmarkStart w:id="8" w:name="_Toc468807093"/>
      <w:r>
        <w:t>Condition G: Is the payer in relation to the imported mismatch payment within the same control group as the  payee (D1 Co) of the mismatch payment within the relevant period, or is there a structured arrangement?</w:t>
      </w:r>
      <w:bookmarkEnd w:id="8"/>
    </w:p>
    <w:p w14:paraId="1517C354" w14:textId="77777777" w:rsidR="001B34FC" w:rsidRPr="00320EF3" w:rsidRDefault="001B34FC" w:rsidP="001B34FC">
      <w:pPr>
        <w:pStyle w:val="BodyText"/>
      </w:pPr>
      <w:r w:rsidRPr="00320EF3">
        <w:t>All the companies are within the same control group, as defined at s259NB.</w:t>
      </w:r>
    </w:p>
    <w:p w14:paraId="4BAD2F4D" w14:textId="77777777" w:rsidR="001B34FC" w:rsidRDefault="001B34FC" w:rsidP="001B34FC">
      <w:pPr>
        <w:pStyle w:val="BodyText"/>
      </w:pPr>
      <w:r w:rsidRPr="00320EF3">
        <w:t xml:space="preserve">Condition G is met. </w:t>
      </w:r>
    </w:p>
    <w:p w14:paraId="4DFC893E" w14:textId="77777777" w:rsidR="001B34FC" w:rsidRDefault="001B34FC" w:rsidP="001B34FC">
      <w:pPr>
        <w:pStyle w:val="BodyText"/>
      </w:pPr>
      <w:r>
        <w:t>There is no need to consider whether this is a structured arrangement.</w:t>
      </w:r>
    </w:p>
    <w:p w14:paraId="6C29FB6B" w14:textId="77777777" w:rsidR="001B34FC" w:rsidRDefault="001B34FC" w:rsidP="001B34FC">
      <w:pPr>
        <w:pStyle w:val="Heading3"/>
      </w:pPr>
      <w:bookmarkStart w:id="9" w:name="_Toc468807094"/>
      <w:r w:rsidRPr="00320EF3">
        <w:t>Conclusion</w:t>
      </w:r>
      <w:bookmarkEnd w:id="9"/>
    </w:p>
    <w:p w14:paraId="219F274B" w14:textId="77777777" w:rsidR="001B34FC" w:rsidRPr="00320EF3" w:rsidRDefault="001B34FC" w:rsidP="001B34FC">
      <w:pPr>
        <w:pStyle w:val="BodyText"/>
      </w:pPr>
      <w:r w:rsidRPr="00320EF3">
        <w:t>As all the relevant conditions are satisfied to characterise the imported mismatch payments under either (or both) the C</w:t>
      </w:r>
      <w:r>
        <w:t xml:space="preserve"> Co to </w:t>
      </w:r>
      <w:r w:rsidRPr="00320EF3">
        <w:t>B</w:t>
      </w:r>
      <w:r>
        <w:t xml:space="preserve"> Co</w:t>
      </w:r>
      <w:r w:rsidRPr="00320EF3">
        <w:t xml:space="preserve"> arrangement and the B</w:t>
      </w:r>
      <w:r>
        <w:t xml:space="preserve"> Co to </w:t>
      </w:r>
      <w:r w:rsidRPr="00320EF3">
        <w:t>D2</w:t>
      </w:r>
      <w:r>
        <w:t xml:space="preserve"> </w:t>
      </w:r>
      <w:r>
        <w:lastRenderedPageBreak/>
        <w:t>Co</w:t>
      </w:r>
      <w:r w:rsidRPr="00320EF3">
        <w:t xml:space="preserve"> arrangement as giving rise to a relevant mismatch</w:t>
      </w:r>
      <w:r>
        <w:t>. T</w:t>
      </w:r>
      <w:r w:rsidRPr="00320EF3">
        <w:t xml:space="preserve">he relevant counteraction under the Imported Mismatch rules </w:t>
      </w:r>
      <w:r>
        <w:t>must</w:t>
      </w:r>
      <w:r w:rsidRPr="00320EF3">
        <w:t xml:space="preserve"> be considered. </w:t>
      </w:r>
    </w:p>
    <w:p w14:paraId="71B31F9E" w14:textId="77777777" w:rsidR="001B34FC" w:rsidRPr="00320EF3" w:rsidRDefault="001B34FC" w:rsidP="001B34FC">
      <w:pPr>
        <w:pStyle w:val="Heading2"/>
      </w:pPr>
      <w:bookmarkStart w:id="10" w:name="_Toc468807095"/>
      <w:r w:rsidRPr="00320EF3">
        <w:t>Counteraction</w:t>
      </w:r>
      <w:bookmarkEnd w:id="10"/>
    </w:p>
    <w:p w14:paraId="7FD0D326" w14:textId="77777777" w:rsidR="001B34FC" w:rsidRPr="00320EF3" w:rsidRDefault="001B34FC" w:rsidP="001B34FC">
      <w:pPr>
        <w:pStyle w:val="BodyText"/>
      </w:pPr>
      <w:r w:rsidRPr="00320EF3">
        <w:t>Where there is more than one relevant payment in relation to the relevant mismatch arising, each company’s share of the relevant mismatch will be determined by apportioning it on a just and reasonable basis, having regard to the extent that it funds the Imported Mismatch.</w:t>
      </w:r>
    </w:p>
    <w:p w14:paraId="09416899" w14:textId="77777777" w:rsidR="001B34FC" w:rsidRPr="00E072A3" w:rsidRDefault="001B34FC" w:rsidP="001B34FC">
      <w:pPr>
        <w:pStyle w:val="Heading3"/>
      </w:pPr>
      <w:bookmarkStart w:id="11" w:name="_Toc468807096"/>
      <w:r w:rsidRPr="00E072A3">
        <w:t>Counteraction where the UK is in the position of Country Y</w:t>
      </w:r>
      <w:bookmarkEnd w:id="11"/>
    </w:p>
    <w:p w14:paraId="2D565893" w14:textId="77777777" w:rsidR="001B34FC" w:rsidRPr="00320EF3" w:rsidRDefault="001B34FC" w:rsidP="001B34FC">
      <w:pPr>
        <w:pStyle w:val="BodyText"/>
      </w:pPr>
      <w:r w:rsidRPr="00320EF3">
        <w:t>Where the UK is in the position of Country Y, then s259KC will apply to deny B</w:t>
      </w:r>
      <w:r>
        <w:t> </w:t>
      </w:r>
      <w:r w:rsidRPr="00320EF3">
        <w:t>Co a deduction to the extent that it directly or indirectly funds the relevant mismatch.</w:t>
      </w:r>
    </w:p>
    <w:p w14:paraId="6490D292" w14:textId="77777777" w:rsidR="001B34FC" w:rsidRPr="00320EF3" w:rsidRDefault="001B34FC" w:rsidP="001B34FC">
      <w:pPr>
        <w:pStyle w:val="BodyText"/>
      </w:pPr>
      <w:r w:rsidRPr="00320EF3">
        <w:t>Therefore</w:t>
      </w:r>
      <w:r>
        <w:t>,</w:t>
      </w:r>
      <w:r w:rsidRPr="00320EF3">
        <w:t xml:space="preserve"> s259K</w:t>
      </w:r>
      <w:r>
        <w:t>C</w:t>
      </w:r>
      <w:r w:rsidRPr="00320EF3">
        <w:t xml:space="preserve"> will apply to deny B</w:t>
      </w:r>
      <w:r>
        <w:t> </w:t>
      </w:r>
      <w:r w:rsidRPr="00320EF3">
        <w:t xml:space="preserve">Co a deduction for the royalty payments made to D2 Co, to the extent that they do not exceed the royalty payments made by D2 Co to D1 Co. </w:t>
      </w:r>
      <w:r>
        <w:t xml:space="preserve">As </w:t>
      </w:r>
      <w:r w:rsidRPr="00320EF3">
        <w:t>D2 Co would be exposed to tax in Country X on any excess it is not part of the mismatch payment</w:t>
      </w:r>
      <w:r>
        <w:t>.</w:t>
      </w:r>
    </w:p>
    <w:p w14:paraId="22EB1CB5" w14:textId="77777777" w:rsidR="001B34FC" w:rsidRPr="00E072A3" w:rsidRDefault="001B34FC" w:rsidP="001B34FC">
      <w:pPr>
        <w:pStyle w:val="Heading3"/>
      </w:pPr>
      <w:bookmarkStart w:id="12" w:name="_Toc468807097"/>
      <w:r w:rsidRPr="00E072A3">
        <w:t>Counteraction where the UK is in the position of Country Z</w:t>
      </w:r>
      <w:bookmarkEnd w:id="12"/>
    </w:p>
    <w:p w14:paraId="30B91449" w14:textId="77777777" w:rsidR="001B34FC" w:rsidRPr="00320EF3" w:rsidRDefault="001B34FC" w:rsidP="001B34FC">
      <w:pPr>
        <w:pStyle w:val="BodyText"/>
      </w:pPr>
      <w:r w:rsidRPr="00E072A3">
        <w:t>Where the UK is in the position of Country Z, then s259KC will apply only to the extent that the mismatch payment attributed to B Co has not been fully counteracted in Country Y by a provision equivalent to the Imported Mismatches rule. Any counteraction taken in Country Y will reduce the extent to which the mismatch is imported into Country Z.</w:t>
      </w:r>
    </w:p>
    <w:p w14:paraId="474C07C4" w14:textId="77777777" w:rsidR="001B34FC" w:rsidRPr="00320EF3" w:rsidRDefault="001B34FC" w:rsidP="001B34FC">
      <w:pPr>
        <w:pStyle w:val="BodyText"/>
      </w:pPr>
      <w:r w:rsidRPr="00320EF3">
        <w:t>If the relevant mismatch has been fully counteracted in Country Y then there is no remaining imported mismatch to be addressed in Country Z. S259KB will therefore not apply to deny C</w:t>
      </w:r>
      <w:r>
        <w:t> </w:t>
      </w:r>
      <w:r w:rsidRPr="00320EF3">
        <w:t>Co from deducting an amount in relation to that part of the payment which is attributable to the IP.</w:t>
      </w:r>
    </w:p>
    <w:bookmarkStart w:id="13" w:name="_Hlk90048850"/>
    <w:bookmarkStart w:id="14" w:name="_Hlk90049141"/>
    <w:p w14:paraId="36495BB2" w14:textId="77777777" w:rsidR="00852C59" w:rsidRDefault="00852C59" w:rsidP="00852C59">
      <w:r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13"/>
      <w:r>
        <w:t xml:space="preserve"> </w:t>
      </w:r>
      <w:bookmarkEnd w:id="14"/>
    </w:p>
    <w:p w14:paraId="2979D18E" w14:textId="40471B2B" w:rsidR="00714BF2" w:rsidRDefault="00401CD3" w:rsidP="001B34FC">
      <w:pPr>
        <w:pStyle w:val="BodyText"/>
      </w:pPr>
    </w:p>
    <w:sectPr w:rsidR="00714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35C51" w14:textId="77777777" w:rsidR="00401CD3" w:rsidRDefault="00401CD3" w:rsidP="001B34FC">
      <w:pPr>
        <w:spacing w:after="0" w:line="240" w:lineRule="auto"/>
      </w:pPr>
      <w:r>
        <w:separator/>
      </w:r>
    </w:p>
  </w:endnote>
  <w:endnote w:type="continuationSeparator" w:id="0">
    <w:p w14:paraId="72A8EA38" w14:textId="77777777" w:rsidR="00401CD3" w:rsidRDefault="00401CD3" w:rsidP="001B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DA81F" w14:textId="77777777" w:rsidR="00852C59" w:rsidRDefault="00852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5EC3D" w14:textId="4ABB9F47" w:rsidR="001B34FC" w:rsidRDefault="001B34F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DA3805" wp14:editId="11C5483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19942cd963e4c7fc8606bc8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838185" w14:textId="41EC293D" w:rsidR="001B34FC" w:rsidRPr="001B34FC" w:rsidRDefault="001B34FC" w:rsidP="001B34F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B34F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A3805" id="_x0000_t202" coordsize="21600,21600" o:spt="202" path="m,l,21600r21600,l21600,xe">
              <v:stroke joinstyle="miter"/>
              <v:path gradientshapeok="t" o:connecttype="rect"/>
            </v:shapetype>
            <v:shape id="MSIPCMf19942cd963e4c7fc8606bc8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AeCodmtAgAARw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77838185" w14:textId="41EC293D" w:rsidR="001B34FC" w:rsidRPr="001B34FC" w:rsidRDefault="001B34FC" w:rsidP="001B34F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B34FC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D31C9" w14:textId="77777777" w:rsidR="00852C59" w:rsidRDefault="00852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D2798" w14:textId="77777777" w:rsidR="00401CD3" w:rsidRDefault="00401CD3" w:rsidP="001B34FC">
      <w:pPr>
        <w:spacing w:after="0" w:line="240" w:lineRule="auto"/>
      </w:pPr>
      <w:r>
        <w:separator/>
      </w:r>
    </w:p>
  </w:footnote>
  <w:footnote w:type="continuationSeparator" w:id="0">
    <w:p w14:paraId="122EB6D7" w14:textId="77777777" w:rsidR="00401CD3" w:rsidRDefault="00401CD3" w:rsidP="001B3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B169F" w14:textId="77777777" w:rsidR="00852C59" w:rsidRDefault="00852C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98310" w14:textId="77777777" w:rsidR="00852C59" w:rsidRDefault="00852C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07758" w14:textId="77777777" w:rsidR="00852C59" w:rsidRDefault="00852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0311B"/>
    <w:multiLevelType w:val="hybridMultilevel"/>
    <w:tmpl w:val="44E22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FC"/>
    <w:rsid w:val="001B34FC"/>
    <w:rsid w:val="001F0F8E"/>
    <w:rsid w:val="00401CD3"/>
    <w:rsid w:val="007F5080"/>
    <w:rsid w:val="00852C59"/>
    <w:rsid w:val="00EA0CE8"/>
    <w:rsid w:val="00E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6352B"/>
  <w15:chartTrackingRefBased/>
  <w15:docId w15:val="{FC0D312B-ACC5-4F39-AFE5-C9D0634D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1B34FC"/>
    <w:pPr>
      <w:keepNext/>
      <w:keepLines/>
      <w:spacing w:after="240" w:line="240" w:lineRule="auto"/>
      <w:outlineLvl w:val="0"/>
    </w:pPr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1B34FC"/>
    <w:pPr>
      <w:keepNext/>
      <w:spacing w:before="120" w:after="240" w:line="240" w:lineRule="auto"/>
      <w:outlineLvl w:val="1"/>
    </w:pPr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1B34FC"/>
    <w:pPr>
      <w:outlineLvl w:val="2"/>
    </w:pPr>
    <w:rPr>
      <w:bCs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FC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B34FC"/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B34FC"/>
    <w:rPr>
      <w:rFonts w:ascii="Arial" w:eastAsia="Times New Roman" w:hAnsi="Arial" w:cs="Arial"/>
      <w:b/>
      <w:iCs/>
      <w:sz w:val="24"/>
      <w:szCs w:val="26"/>
      <w:lang w:eastAsia="en-GB"/>
    </w:rPr>
  </w:style>
  <w:style w:type="paragraph" w:styleId="BodyText">
    <w:name w:val="Body Text"/>
    <w:basedOn w:val="Normal"/>
    <w:link w:val="BodyTextChar"/>
    <w:rsid w:val="001B34FC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B34FC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rsid w:val="001B34FC"/>
    <w:rPr>
      <w:rFonts w:ascii="Arial" w:hAnsi="Arial"/>
      <w:color w:val="0000FF"/>
      <w:sz w:val="24"/>
      <w:u w:val="single"/>
    </w:rPr>
  </w:style>
  <w:style w:type="paragraph" w:styleId="ListBullet">
    <w:name w:val="List Bullet"/>
    <w:basedOn w:val="BodyText"/>
    <w:rsid w:val="001B34FC"/>
  </w:style>
  <w:style w:type="paragraph" w:styleId="Header">
    <w:name w:val="header"/>
    <w:basedOn w:val="Normal"/>
    <w:link w:val="HeaderChar"/>
    <w:uiPriority w:val="99"/>
    <w:unhideWhenUsed/>
    <w:rsid w:val="001B3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4FC"/>
  </w:style>
  <w:style w:type="paragraph" w:styleId="Footer">
    <w:name w:val="footer"/>
    <w:basedOn w:val="Normal"/>
    <w:link w:val="FooterChar"/>
    <w:uiPriority w:val="99"/>
    <w:unhideWhenUsed/>
    <w:rsid w:val="001B3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F2AE3F-6837-4892-AF8B-D2E4E3EF3185}"/>
</file>

<file path=customXml/itemProps2.xml><?xml version="1.0" encoding="utf-8"?>
<ds:datastoreItem xmlns:ds="http://schemas.openxmlformats.org/officeDocument/2006/customXml" ds:itemID="{D52009BC-7394-42F3-BF50-39CEB0616129}"/>
</file>

<file path=customXml/itemProps3.xml><?xml version="1.0" encoding="utf-8"?>
<ds:datastoreItem xmlns:ds="http://schemas.openxmlformats.org/officeDocument/2006/customXml" ds:itemID="{0EA3D360-9E4E-4354-A364-02DBF2DA21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5774</Characters>
  <Application>Microsoft Office Word</Application>
  <DocSecurity>0</DocSecurity>
  <Lines>48</Lines>
  <Paragraphs>13</Paragraphs>
  <ScaleCrop>false</ScaleCrop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2021-12-10T17:09:00Z</dcterms:created>
  <dcterms:modified xsi:type="dcterms:W3CDTF">2021-12-10T17:32:00Z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2021-12-10T17:09:45Z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f59c8a47-634f-442b-8634-df97c9e824e1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