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1D277" w14:textId="77777777" w:rsidR="00C71071" w:rsidRDefault="00C71071" w:rsidP="00C71071">
      <w:pPr>
        <w:pStyle w:val="Heading1"/>
        <w:ind w:right="804"/>
      </w:pPr>
      <w:r>
        <w:t>INTM559405: Hybrids: Imported mismatches (Chapter 11): Examples: Series of arrangements</w:t>
      </w:r>
    </w:p>
    <w:p w14:paraId="3DC408E1" w14:textId="77777777" w:rsidR="00C71071" w:rsidRDefault="00C71071" w:rsidP="00C71071">
      <w:r>
        <w:rPr>
          <w:noProof/>
        </w:rPr>
        <w:drawing>
          <wp:inline distT="0" distB="0" distL="0" distR="0" wp14:anchorId="1A4A8D2F" wp14:editId="3916F29B">
            <wp:extent cx="5095875" cy="3358515"/>
            <wp:effectExtent l="0" t="0" r="9525" b="0"/>
            <wp:docPr id="450" name="Picture 450" descr="C Co is resident in Country C and is the 100% shareholder of A Co, resident in the UK, and B Co, resident in Country B. C Co also operates a branch in Country D.&#10;Under the laws of Country C, C Co is regarded as carrying on a business through a permanent establishment (PE) in Country D. &#10;Under the laws of Country D, C Co is not regarded as carrying on a business through a PE in Country D. &#10;A Co is the distributor for the group. A Co makes payments of 100 (payment 1) for goods to B Co. The UK allows a deduction for the payment made by A Co. &#10;Country B treats the receipt as taxable on B Co. &#10;B Co sources products from the group manufacturing divisions including D Branch of C Co. B Co makes payments of 100 for goods to Branch D. Country B allows a deduction against income for the payment made by B Co. &#10;Country C treats the receipt under Payment 2 as attributable to its PE (D Branch) and exempts or excludes the income receipt from taxation. Country D, however, does not tax the income because C Co is not treated as having a PE under local law. &#10;The payment therefore gives rise to an intra-group mismatch (a D/NI outcome) because a deduction is available in Country B with no corresponding taxable income recognised in either Country C or Country D. &#10;Neither Country B nor Country C have rules based on the OECD’s e Final Report on Neutralising the Effects of Hybrid Mismatch Arrangements published on 5 October 2015 or any replacement or supplementary public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1080" cy="336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57DED" w14:textId="77777777" w:rsidR="00C71071" w:rsidRDefault="00C71071" w:rsidP="00C71071">
      <w:pPr>
        <w:pStyle w:val="Heading2"/>
        <w:spacing w:before="0"/>
      </w:pPr>
      <w:r w:rsidRPr="00B06773">
        <w:t>Background</w:t>
      </w:r>
    </w:p>
    <w:p w14:paraId="160CACF0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</w:pPr>
      <w:r>
        <w:t>C Co is resident in Country C and is the 100% shareholder of A Co, resident in the UK, and B Co, resident in Country B. C Co also operates a branch in Country D.</w:t>
      </w:r>
    </w:p>
    <w:p w14:paraId="7F5343BB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</w:pPr>
      <w:r>
        <w:t xml:space="preserve">Under the laws of Country C, C Co is regarded as carrying on a business through a permanent establishment (PE) in Country D. </w:t>
      </w:r>
    </w:p>
    <w:p w14:paraId="385A6741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</w:pPr>
      <w:r>
        <w:t xml:space="preserve">Under the laws of Country D, C Co is </w:t>
      </w:r>
      <w:r w:rsidRPr="0053108F">
        <w:rPr>
          <w:i/>
        </w:rPr>
        <w:t>not</w:t>
      </w:r>
      <w:r>
        <w:t xml:space="preserve"> regarded as carrying on a business through a PE in Country D. </w:t>
      </w:r>
    </w:p>
    <w:p w14:paraId="7F37E813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</w:pPr>
      <w:r>
        <w:t xml:space="preserve">A Co is the distributor for the group. A Co makes payments of 100 (payment 1) for goods to B Co. The UK allows a deduction for the payment made by A Co. </w:t>
      </w:r>
    </w:p>
    <w:p w14:paraId="1ECF1B56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</w:pPr>
      <w:r>
        <w:t xml:space="preserve">Country B treats the receipt as taxable on B Co. </w:t>
      </w:r>
    </w:p>
    <w:p w14:paraId="0A588498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</w:pPr>
      <w:r>
        <w:t xml:space="preserve">B Co sources products from the group manufacturing divisions including D Branch of C Co. B Co makes payments of 100 for goods to Branch D. Country B allows a deduction against income for the payment made by B Co. </w:t>
      </w:r>
    </w:p>
    <w:p w14:paraId="00E3603D" w14:textId="77777777" w:rsidR="00C71071" w:rsidRDefault="00C71071" w:rsidP="00C71071">
      <w:pPr>
        <w:pStyle w:val="NoSpacing"/>
        <w:ind w:left="720"/>
      </w:pPr>
    </w:p>
    <w:p w14:paraId="2DEFAD4C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</w:pPr>
      <w:r>
        <w:t xml:space="preserve">Country C treats the receipt under Payment 2 as attributable to its PE (D Branch) and exempts or excludes the income receipt from taxation. Country </w:t>
      </w:r>
      <w:r>
        <w:lastRenderedPageBreak/>
        <w:t xml:space="preserve">D, however, does not tax the income because C Co is not treated as having a PE under local law. </w:t>
      </w:r>
    </w:p>
    <w:p w14:paraId="5ED80BBC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</w:pPr>
      <w:r>
        <w:t xml:space="preserve">The payment therefore gives rise to an intra-group mismatch (a D/NI outcome) because a deduction is available in Country B with no corresponding taxable income recognised in either Country C or Country D. </w:t>
      </w:r>
    </w:p>
    <w:p w14:paraId="21470972" w14:textId="77777777" w:rsidR="00C71071" w:rsidRDefault="00C71071" w:rsidP="00C71071">
      <w:pPr>
        <w:pStyle w:val="NoSpacing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Bidi"/>
          <w:szCs w:val="24"/>
        </w:rPr>
      </w:pPr>
      <w:r>
        <w:t xml:space="preserve">Neither Country B nor Country C have rules based on the OECD’s </w:t>
      </w:r>
      <w:r w:rsidRPr="3196A3A9">
        <w:rPr>
          <w:rFonts w:eastAsia="Arial" w:cs="Arial"/>
          <w:szCs w:val="24"/>
        </w:rPr>
        <w:t xml:space="preserve"> Final Report on Neutralising the Effects of Hybrid Mismatch Arrangements published on 5 October 2015 or any replacement or supplementary publication </w:t>
      </w:r>
      <w:r>
        <w:t xml:space="preserve">. </w:t>
      </w:r>
    </w:p>
    <w:p w14:paraId="3D4229FD" w14:textId="77777777" w:rsidR="00C71071" w:rsidRDefault="00C71071" w:rsidP="00C71071">
      <w:pPr>
        <w:pStyle w:val="Heading2"/>
        <w:spacing w:before="0"/>
      </w:pPr>
      <w:r>
        <w:t>Analysis – Applying the tests in s259KA TIOPA 2010</w:t>
      </w:r>
    </w:p>
    <w:p w14:paraId="2E51A501" w14:textId="77777777" w:rsidR="00C71071" w:rsidRDefault="00C71071" w:rsidP="00C71071">
      <w:pPr>
        <w:rPr>
          <w:rFonts w:cs="Arial"/>
          <w:szCs w:val="24"/>
        </w:rPr>
      </w:pPr>
      <w:r>
        <w:rPr>
          <w:rFonts w:cs="Arial"/>
          <w:szCs w:val="24"/>
        </w:rPr>
        <w:t>Are the relevant conditions satisfied to bring this example within the scope of the imported mismatches rules?</w:t>
      </w:r>
    </w:p>
    <w:p w14:paraId="0D33E5E4" w14:textId="77777777" w:rsidR="00C71071" w:rsidRPr="00E072A3" w:rsidRDefault="00C71071" w:rsidP="00C71071">
      <w:pPr>
        <w:pStyle w:val="Heading3"/>
        <w:spacing w:before="0"/>
      </w:pPr>
      <w:r w:rsidRPr="00E072A3">
        <w:t>Condition A: Are there payments or quasi-payments made under, or in connection with, an arrangement?</w:t>
      </w:r>
    </w:p>
    <w:p w14:paraId="1B071D18" w14:textId="77777777" w:rsidR="00C71071" w:rsidRDefault="00C71071" w:rsidP="00C71071">
      <w:pPr>
        <w:pStyle w:val="NoSpacing"/>
        <w:spacing w:after="240"/>
      </w:pPr>
      <w:r>
        <w:t xml:space="preserve">Payment 1 and payment 2 are both payments made under, or in connection with, an arrangement.  </w:t>
      </w:r>
    </w:p>
    <w:p w14:paraId="7AF3DD35" w14:textId="77777777" w:rsidR="00C71071" w:rsidRDefault="00C71071" w:rsidP="00C71071">
      <w:pPr>
        <w:pStyle w:val="NoSpacing"/>
        <w:spacing w:after="240"/>
      </w:pPr>
      <w:r>
        <w:t xml:space="preserve">Condition A is met. </w:t>
      </w:r>
    </w:p>
    <w:p w14:paraId="787A42FF" w14:textId="77777777" w:rsidR="00C71071" w:rsidRPr="00E072A3" w:rsidRDefault="00C71071" w:rsidP="00C71071">
      <w:pPr>
        <w:pStyle w:val="Heading3"/>
        <w:spacing w:before="0"/>
      </w:pPr>
      <w:r w:rsidRPr="00E072A3">
        <w:t>Condition B: Is the payer in relation to that imported mismatch arrangement within the charge to corporation tax for a relevant payment period?</w:t>
      </w:r>
    </w:p>
    <w:p w14:paraId="05691D83" w14:textId="77777777" w:rsidR="00C71071" w:rsidRDefault="00C71071" w:rsidP="00C71071">
      <w:pPr>
        <w:pStyle w:val="NoSpacing"/>
        <w:spacing w:after="240"/>
      </w:pPr>
      <w:r>
        <w:t xml:space="preserve">A Co is a payer in relation to the Payment 1 arrangement and is within the charge to corporation tax. </w:t>
      </w:r>
    </w:p>
    <w:p w14:paraId="2C9DDB38" w14:textId="77777777" w:rsidR="00C71071" w:rsidRDefault="00C71071" w:rsidP="00C71071">
      <w:pPr>
        <w:pStyle w:val="NoSpacing"/>
        <w:spacing w:after="240"/>
      </w:pPr>
      <w:r>
        <w:t xml:space="preserve">Condition B is met. </w:t>
      </w:r>
    </w:p>
    <w:p w14:paraId="3EEFC8C3" w14:textId="77777777" w:rsidR="00C71071" w:rsidRPr="00E072A3" w:rsidRDefault="00C71071" w:rsidP="00C71071">
      <w:pPr>
        <w:pStyle w:val="Heading3"/>
        <w:spacing w:before="0"/>
      </w:pPr>
      <w:r w:rsidRPr="00E072A3">
        <w:t>Condition C: Is this arrangement one of a number of arrangements which are each entered into in pursuance of, or in relation to, an over-arching arrangement (a series of arrangements)?</w:t>
      </w:r>
    </w:p>
    <w:p w14:paraId="0FF5BD61" w14:textId="77777777" w:rsidR="00C71071" w:rsidRDefault="00C71071" w:rsidP="00C71071">
      <w:pPr>
        <w:pStyle w:val="NoSpacing"/>
        <w:spacing w:after="240"/>
      </w:pPr>
      <w:r>
        <w:t xml:space="preserve">Payment 1 and payment 2 each constitute a relevant arrangement, and taken together form a series of arrangements (an over-arching arrangement).  The over-arching arrangement here as defined in s259KA(5) includes the payment from A Co to B Co, and the payment from B Co to D Branch. </w:t>
      </w:r>
    </w:p>
    <w:p w14:paraId="616EF23A" w14:textId="77777777" w:rsidR="00C71071" w:rsidRDefault="00C71071" w:rsidP="00C71071">
      <w:pPr>
        <w:pStyle w:val="NoSpacing"/>
        <w:spacing w:after="240"/>
      </w:pPr>
      <w:r>
        <w:t xml:space="preserve">Condition C is satisfied for payment 1 in relation to payment 2. </w:t>
      </w:r>
    </w:p>
    <w:p w14:paraId="784F798D" w14:textId="77777777" w:rsidR="00C71071" w:rsidRPr="00E072A3" w:rsidRDefault="00C71071" w:rsidP="00C71071">
      <w:pPr>
        <w:pStyle w:val="Heading3"/>
        <w:spacing w:before="0"/>
      </w:pPr>
      <w:r w:rsidRPr="00E072A3">
        <w:t xml:space="preserve">Condition D: Under an arrangement within this series (other than the imported mismatch arrangement), is there a payment or quasi-payment in relation to which it is reasonable to suppose that there would be a relevant mismatch (as targeted by </w:t>
      </w:r>
      <w:r>
        <w:t>Part 6A</w:t>
      </w:r>
      <w:r w:rsidRPr="00E072A3">
        <w:t xml:space="preserve"> rules)?</w:t>
      </w:r>
    </w:p>
    <w:p w14:paraId="1BF7184D" w14:textId="77777777" w:rsidR="00C71071" w:rsidRDefault="00C71071" w:rsidP="00C71071">
      <w:pPr>
        <w:pStyle w:val="NoSpacing"/>
        <w:spacing w:after="240"/>
      </w:pPr>
      <w:r>
        <w:t xml:space="preserve">Neither C Co nor D Branch bring the payment into ordinary income, because the law of Country D does not regard C Co as carrying on a business in Country D, but the law of the parent jurisdiction does. </w:t>
      </w:r>
    </w:p>
    <w:p w14:paraId="716C0209" w14:textId="77777777" w:rsidR="00C71071" w:rsidRDefault="00C71071" w:rsidP="00C71071">
      <w:pPr>
        <w:pStyle w:val="NoSpacing"/>
        <w:spacing w:after="240"/>
      </w:pPr>
      <w:r>
        <w:lastRenderedPageBreak/>
        <w:t xml:space="preserve">C Co meets the definition of a multinational company for the purposes of Chapter 8, so if the payment from B Co to D Branch gives rise to a mismatch, it would satisfy the conditions to fall within Chapter 8. </w:t>
      </w:r>
    </w:p>
    <w:p w14:paraId="5796F8B9" w14:textId="77777777" w:rsidR="00C71071" w:rsidRDefault="00C71071" w:rsidP="00C71071">
      <w:pPr>
        <w:pStyle w:val="NoSpacing"/>
        <w:spacing w:after="240"/>
      </w:pPr>
      <w:r>
        <w:t xml:space="preserve">As the payee, C Co, is regarded as carrying on a business through a permanent establishment under the laws of the parent jurisdiction, but under the laws of the PE jurisdiction is not regarded as doing so, and a mismatch arises because the payee is a company with a permanent establishment, Chapter 8 of Part 6A TIOPA 2010 may have applied if the UK were Country B or Country C. </w:t>
      </w:r>
    </w:p>
    <w:p w14:paraId="55D0A8F2" w14:textId="77777777" w:rsidR="00C71071" w:rsidRDefault="00C71071" w:rsidP="00C71071">
      <w:pPr>
        <w:pStyle w:val="NoSpacing"/>
        <w:spacing w:after="240"/>
      </w:pPr>
      <w:r>
        <w:t>Condition D is met in respect of payment 2. The relevant mismatch is the extent as computed under Chapter 8, which is the entire deduction arising to B Co.</w:t>
      </w:r>
    </w:p>
    <w:p w14:paraId="40EE40A7" w14:textId="77777777" w:rsidR="00C71071" w:rsidRPr="00E072A3" w:rsidRDefault="00C71071" w:rsidP="00C71071">
      <w:pPr>
        <w:pStyle w:val="Heading3"/>
        <w:spacing w:before="0"/>
      </w:pPr>
      <w:r>
        <w:t xml:space="preserve">Condition E: After amendment in Finance Act 2021, Condition E is whether it reasonable to suppose </w:t>
      </w:r>
      <w:bookmarkStart w:id="0" w:name="_Hlk72929517"/>
      <w:r>
        <w:t xml:space="preserve">that the relevant mismatch is not capable of counteraction? </w:t>
      </w:r>
    </w:p>
    <w:bookmarkEnd w:id="0"/>
    <w:p w14:paraId="0F33205C" w14:textId="77777777" w:rsidR="00C71071" w:rsidRDefault="00C71071" w:rsidP="00C71071">
      <w:pPr>
        <w:pStyle w:val="NoSpacing"/>
        <w:spacing w:after="240"/>
      </w:pPr>
      <w:r>
        <w:t xml:space="preserve">As noted in the Background, neither Country B nor Country C have adopted rules based on the OECD’s </w:t>
      </w:r>
      <w:r w:rsidRPr="3196A3A9">
        <w:rPr>
          <w:rFonts w:eastAsia="Arial" w:cs="Arial"/>
          <w:szCs w:val="24"/>
        </w:rPr>
        <w:t xml:space="preserve">Final Report on Neutralising the Effects of Hybrid Mismatch Arrangements published on 5 October 2015 or any replacement or supplementary publication </w:t>
      </w:r>
      <w:r>
        <w:t xml:space="preserve"> and therefore are not territories that are OECD mismatch complaint for the purposes of (post Finance Act 2021) Condition E  </w:t>
      </w:r>
    </w:p>
    <w:p w14:paraId="376D2D28" w14:textId="77777777" w:rsidR="00C71071" w:rsidRDefault="00C71071" w:rsidP="00C71071">
      <w:pPr>
        <w:pStyle w:val="NoSpacing"/>
        <w:spacing w:after="240"/>
      </w:pPr>
      <w:r>
        <w:t xml:space="preserve">Condition E is therefore met as the relevant mismatch is not capabale of counteraction. </w:t>
      </w:r>
    </w:p>
    <w:p w14:paraId="726A3929" w14:textId="77777777" w:rsidR="00C71071" w:rsidRDefault="00C71071" w:rsidP="00C71071">
      <w:pPr>
        <w:pStyle w:val="NoSpacing"/>
        <w:spacing w:after="240"/>
      </w:pPr>
    </w:p>
    <w:p w14:paraId="701FCDBB" w14:textId="77777777" w:rsidR="00C71071" w:rsidRPr="00E072A3" w:rsidRDefault="00C71071" w:rsidP="00C71071">
      <w:pPr>
        <w:pStyle w:val="Heading3"/>
        <w:spacing w:before="0"/>
      </w:pPr>
      <w:r w:rsidRPr="00E072A3">
        <w:t xml:space="preserve">Condition G: Is the </w:t>
      </w:r>
      <w:r>
        <w:t xml:space="preserve">payer (A Co) in relation to the imported mismatch payment </w:t>
      </w:r>
      <w:r w:rsidRPr="00E072A3">
        <w:t>within the same control group as the payee (</w:t>
      </w:r>
      <w:r>
        <w:t>C</w:t>
      </w:r>
      <w:r w:rsidRPr="00E072A3">
        <w:t xml:space="preserve"> Co</w:t>
      </w:r>
      <w:r>
        <w:t>/D Branch</w:t>
      </w:r>
      <w:r w:rsidRPr="00E072A3">
        <w:t>) of the mismatch payment within the relevant period, or is there a structured arrangement?</w:t>
      </w:r>
    </w:p>
    <w:p w14:paraId="0F24783F" w14:textId="77777777" w:rsidR="00C71071" w:rsidRDefault="00C71071" w:rsidP="00C71071">
      <w:pPr>
        <w:pStyle w:val="NoSpacing"/>
        <w:spacing w:after="240"/>
      </w:pPr>
      <w:r>
        <w:t>All the companies are within the same control group, as defined at s259NB.</w:t>
      </w:r>
    </w:p>
    <w:p w14:paraId="0525BF5D" w14:textId="77777777" w:rsidR="00C71071" w:rsidRDefault="00C71071" w:rsidP="00C71071">
      <w:pPr>
        <w:pStyle w:val="NoSpacing"/>
        <w:spacing w:after="240"/>
      </w:pPr>
      <w:r>
        <w:t>Condition G is met. It is not necessary to consider whether this is a structured arrangement.</w:t>
      </w:r>
    </w:p>
    <w:p w14:paraId="142B0849" w14:textId="77777777" w:rsidR="00C71071" w:rsidRDefault="00C71071" w:rsidP="00C71071">
      <w:pPr>
        <w:pStyle w:val="Heading3"/>
        <w:spacing w:before="0"/>
      </w:pPr>
      <w:r>
        <w:t>Conclusion</w:t>
      </w:r>
    </w:p>
    <w:p w14:paraId="51E9A685" w14:textId="77777777" w:rsidR="00C71071" w:rsidRDefault="00C71071" w:rsidP="00C71071">
      <w:pPr>
        <w:pStyle w:val="NoSpacing"/>
        <w:spacing w:after="240"/>
      </w:pPr>
      <w:r>
        <w:t>All the relevant conditions are satisfied, so the relevant counteraction under the imported mismatch rules must be considered.</w:t>
      </w:r>
    </w:p>
    <w:p w14:paraId="0BA61988" w14:textId="77777777" w:rsidR="00C71071" w:rsidRPr="00E072A3" w:rsidRDefault="00C71071" w:rsidP="00C71071">
      <w:pPr>
        <w:pStyle w:val="Heading2"/>
        <w:spacing w:before="0"/>
      </w:pPr>
      <w:r w:rsidRPr="00E072A3">
        <w:t xml:space="preserve">Counteraction under s259KC </w:t>
      </w:r>
    </w:p>
    <w:p w14:paraId="7E2E2861" w14:textId="77777777" w:rsidR="00C71071" w:rsidRDefault="00C71071" w:rsidP="00C71071">
      <w:pPr>
        <w:pStyle w:val="NoSpacing"/>
        <w:spacing w:after="240"/>
      </w:pPr>
      <w:r>
        <w:t xml:space="preserve">The relevant deduction that may be deducted from A Co’s income for the payment period is to be reduced by the amount, and A Co’s share, of the relevant mismatch. </w:t>
      </w:r>
    </w:p>
    <w:p w14:paraId="4BD0175C" w14:textId="77777777" w:rsidR="00C71071" w:rsidRDefault="00C71071" w:rsidP="00C71071">
      <w:pPr>
        <w:pStyle w:val="NoSpacing"/>
        <w:spacing w:after="240"/>
      </w:pPr>
      <w:r>
        <w:t xml:space="preserve">The share of the mismatch is to be determined on a just and reasonable basis by apportioning the extent to which the imported mismatch payment and any other relevant payment funds, directly or indirectly, the mismatch payment.  </w:t>
      </w:r>
    </w:p>
    <w:p w14:paraId="091D03A9" w14:textId="77777777" w:rsidR="00C71071" w:rsidRDefault="00C71071" w:rsidP="00C71071">
      <w:pPr>
        <w:pStyle w:val="NoSpacing"/>
        <w:spacing w:after="240"/>
      </w:pPr>
      <w:r>
        <w:lastRenderedPageBreak/>
        <w:t>In this example, the relevant mismatch (payment 2) is 100 from B Co to D Branch, and is funded on a just and reasonable basis directly by 100 from A Co to B Co.</w:t>
      </w:r>
    </w:p>
    <w:bookmarkStart w:id="1" w:name="_Hlk90048850"/>
    <w:bookmarkStart w:id="2" w:name="_Hlk90049141"/>
    <w:p w14:paraId="18D77E0D" w14:textId="77777777" w:rsidR="00945CB4" w:rsidRDefault="00945CB4" w:rsidP="00945CB4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1"/>
      <w:r>
        <w:t xml:space="preserve"> </w:t>
      </w:r>
      <w:bookmarkEnd w:id="2"/>
    </w:p>
    <w:p w14:paraId="4A696AF7" w14:textId="1E4D5C37" w:rsidR="00714BF2" w:rsidRDefault="003B485D" w:rsidP="00945CB4">
      <w:pPr>
        <w:pStyle w:val="BodyText"/>
      </w:pPr>
    </w:p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D837B" w14:textId="77777777" w:rsidR="003B485D" w:rsidRDefault="003B485D" w:rsidP="00C71071">
      <w:pPr>
        <w:spacing w:after="0"/>
      </w:pPr>
      <w:r>
        <w:separator/>
      </w:r>
    </w:p>
  </w:endnote>
  <w:endnote w:type="continuationSeparator" w:id="0">
    <w:p w14:paraId="356BB68B" w14:textId="77777777" w:rsidR="003B485D" w:rsidRDefault="003B485D" w:rsidP="00C710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15111" w14:textId="77777777" w:rsidR="00945CB4" w:rsidRDefault="00945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4F8C1" w14:textId="49F14462" w:rsidR="00C71071" w:rsidRDefault="00C710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D92D42" wp14:editId="63E4F58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89a48a68a58021b156d2e41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5171F" w14:textId="699550F3" w:rsidR="00C71071" w:rsidRPr="00C71071" w:rsidRDefault="00C71071" w:rsidP="00C7107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7107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92D42" id="_x0000_t202" coordsize="21600,21600" o:spt="202" path="m,l,21600r21600,l21600,xe">
              <v:stroke joinstyle="miter"/>
              <v:path gradientshapeok="t" o:connecttype="rect"/>
            </v:shapetype>
            <v:shape id="MSIPCM689a48a68a58021b156d2e41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CbuLQI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1755171F" w14:textId="699550F3" w:rsidR="00C71071" w:rsidRPr="00C71071" w:rsidRDefault="00C71071" w:rsidP="00C7107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71071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CB42D" w14:textId="77777777" w:rsidR="00945CB4" w:rsidRDefault="00945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86BF1" w14:textId="77777777" w:rsidR="003B485D" w:rsidRDefault="003B485D" w:rsidP="00C71071">
      <w:pPr>
        <w:spacing w:after="0"/>
      </w:pPr>
      <w:r>
        <w:separator/>
      </w:r>
    </w:p>
  </w:footnote>
  <w:footnote w:type="continuationSeparator" w:id="0">
    <w:p w14:paraId="0BADBCBE" w14:textId="77777777" w:rsidR="003B485D" w:rsidRDefault="003B485D" w:rsidP="00C710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CACBB" w14:textId="77777777" w:rsidR="00945CB4" w:rsidRDefault="00945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C377C" w14:textId="77777777" w:rsidR="00945CB4" w:rsidRDefault="00945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0007B" w14:textId="77777777" w:rsidR="00945CB4" w:rsidRDefault="00945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A2D99"/>
    <w:multiLevelType w:val="hybridMultilevel"/>
    <w:tmpl w:val="E7FC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71"/>
    <w:rsid w:val="001F0F8E"/>
    <w:rsid w:val="003B485D"/>
    <w:rsid w:val="007F5080"/>
    <w:rsid w:val="00945CB4"/>
    <w:rsid w:val="00C71071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BB6CD"/>
  <w15:chartTrackingRefBased/>
  <w15:docId w15:val="{D126622B-CCB7-4586-95BD-FFCBDD7B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C71071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C71071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C71071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C71071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071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71071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71071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C71071"/>
  </w:style>
  <w:style w:type="character" w:customStyle="1" w:styleId="BodyTextChar">
    <w:name w:val="Body Text Char"/>
    <w:basedOn w:val="DefaultParagraphFont"/>
    <w:link w:val="BodyText"/>
    <w:rsid w:val="00C71071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C71071"/>
    <w:rPr>
      <w:rFonts w:ascii="Arial" w:hAnsi="Arial"/>
      <w:color w:val="0000FF"/>
      <w:sz w:val="24"/>
      <w:u w:val="single"/>
    </w:rPr>
  </w:style>
  <w:style w:type="paragraph" w:styleId="NoSpacing">
    <w:name w:val="No Spacing"/>
    <w:uiPriority w:val="1"/>
    <w:qFormat/>
    <w:rsid w:val="00C7107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710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107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0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1071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1E7DB-5759-42A7-8A20-D053EDBF8D89}"/>
</file>

<file path=customXml/itemProps2.xml><?xml version="1.0" encoding="utf-8"?>
<ds:datastoreItem xmlns:ds="http://schemas.openxmlformats.org/officeDocument/2006/customXml" ds:itemID="{559EBA1D-84F2-4A1E-A5A6-C3D0C76530D8}"/>
</file>

<file path=customXml/itemProps3.xml><?xml version="1.0" encoding="utf-8"?>
<ds:datastoreItem xmlns:ds="http://schemas.openxmlformats.org/officeDocument/2006/customXml" ds:itemID="{35EE90E8-6184-4A73-BC14-940EC34F4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2021-12-10T17:07:00Z</dcterms:created>
  <dcterms:modified xsi:type="dcterms:W3CDTF">2021-12-10T17:32:00Z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2021-12-10T17:08:06Z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e1865169-b668-4314-8f2d-6c2a03ef2e35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