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86467" w14:textId="77777777" w:rsidR="00F65F06" w:rsidRPr="00E65630" w:rsidRDefault="00F65F06" w:rsidP="00F65F06">
      <w:pPr>
        <w:pStyle w:val="Heading1"/>
      </w:pPr>
      <w:bookmarkStart w:id="0" w:name="_Toc468807060"/>
      <w:bookmarkStart w:id="1" w:name="_Toc478036837"/>
      <w:r w:rsidRPr="00E65630">
        <w:t>INTM55</w:t>
      </w:r>
      <w:r>
        <w:t>8220</w:t>
      </w:r>
      <w:r w:rsidRPr="00E65630">
        <w:t xml:space="preserve">: </w:t>
      </w:r>
      <w:r>
        <w:t xml:space="preserve">Hybrids: Dual Territory Double Deduction (Chapter 10): </w:t>
      </w:r>
      <w:r w:rsidRPr="00E65630">
        <w:t>Example</w:t>
      </w:r>
      <w:r>
        <w:t>s</w:t>
      </w:r>
      <w:r w:rsidRPr="00E65630">
        <w:t>: Dual-resident company double deduction</w:t>
      </w:r>
      <w:bookmarkEnd w:id="0"/>
      <w:bookmarkEnd w:id="1"/>
    </w:p>
    <w:p w14:paraId="21F0923F" w14:textId="77777777" w:rsidR="00F65F06" w:rsidRPr="007429E6" w:rsidRDefault="00F65F06" w:rsidP="00F65F06">
      <w:pPr>
        <w:pStyle w:val="BodyText"/>
      </w:pPr>
      <w:r w:rsidRPr="007429E6">
        <w:t>This example illustrates a double deduction (DD) outcome arising as a result of a company being dual</w:t>
      </w:r>
      <w:r>
        <w:t xml:space="preserve"> </w:t>
      </w:r>
      <w:r w:rsidRPr="007429E6">
        <w:t>resident.</w:t>
      </w:r>
    </w:p>
    <w:p w14:paraId="252731A9" w14:textId="77777777" w:rsidR="00F65F06" w:rsidRPr="007429E6" w:rsidRDefault="00F65F06" w:rsidP="00F65F06">
      <w:pPr>
        <w:pStyle w:val="BodyText"/>
      </w:pPr>
      <w:r w:rsidRPr="00CE0C66">
        <w:rPr>
          <w:noProof/>
        </w:rPr>
        <w:drawing>
          <wp:inline distT="0" distB="0" distL="0" distR="0" wp14:anchorId="71DDB4EF" wp14:editId="61731E8C">
            <wp:extent cx="4833288" cy="2546286"/>
            <wp:effectExtent l="0" t="0" r="0" b="6985"/>
            <wp:docPr id="17" name="Picture 17" descr="•A Co 1 is resident in Country X. A Co 1 owns all the shares in A Co 2. &#10;•A Co 2 is a dual–resident company that is resident for tax purposes in both County X and Country Y.&#10;•A Co 1 is consolidated with A Co 2 under Country X law.&#10;•A Co 2 acquires all of the shares in B Co.&#10;•B Co is treated as a separate entity under Country X law, but is recognised as fiscally transparent under Country Y law.&#10;•A Co 2 borrows money from a bank. The loan interest (150) is deductible in both Country X and Country Y. &#10;•Operating income of 300 arises to A Co 1, and 350 to B Co.&#10;•A Co 2 has no other income or expenditure.&#10;" title="INTM558220: Hybrids: Chapter 10 - Dual territory double deduction: Examples: Dual-resident company double de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857" cy="2549220"/>
                    </a:xfrm>
                    <a:prstGeom prst="rect">
                      <a:avLst/>
                    </a:prstGeom>
                    <a:noFill/>
                  </pic:spPr>
                </pic:pic>
              </a:graphicData>
            </a:graphic>
          </wp:inline>
        </w:drawing>
      </w:r>
    </w:p>
    <w:p w14:paraId="6BA8F1C4" w14:textId="77777777" w:rsidR="00F65F06" w:rsidRPr="00F366DD" w:rsidRDefault="00F65F06" w:rsidP="00F65F06">
      <w:pPr>
        <w:pStyle w:val="Heading2"/>
      </w:pPr>
      <w:bookmarkStart w:id="2" w:name="_Toc468807061"/>
      <w:r>
        <w:t>Background</w:t>
      </w:r>
      <w:bookmarkEnd w:id="2"/>
    </w:p>
    <w:p w14:paraId="4B4FD015" w14:textId="77777777" w:rsidR="00F65F06" w:rsidRPr="00CE0C66" w:rsidRDefault="00F65F06" w:rsidP="00F65F06">
      <w:pPr>
        <w:pStyle w:val="ListBullet"/>
        <w:numPr>
          <w:ilvl w:val="0"/>
          <w:numId w:val="1"/>
        </w:numPr>
      </w:pPr>
      <w:r w:rsidRPr="00F366DD">
        <w:t xml:space="preserve">A Co </w:t>
      </w:r>
      <w:r w:rsidRPr="00CE0C66">
        <w:t xml:space="preserve">1 is resident in Country X. A Co 1 owns all the shares in A Co 2. </w:t>
      </w:r>
    </w:p>
    <w:p w14:paraId="4FEE946A" w14:textId="77777777" w:rsidR="00F65F06" w:rsidRPr="00CE0C66" w:rsidRDefault="00F65F06" w:rsidP="00F65F06">
      <w:pPr>
        <w:pStyle w:val="ListBullet"/>
        <w:numPr>
          <w:ilvl w:val="0"/>
          <w:numId w:val="1"/>
        </w:numPr>
      </w:pPr>
      <w:r>
        <w:t>A Co 2 is a dual</w:t>
      </w:r>
      <w:r w:rsidRPr="00CE0C66">
        <w:t>–resident company that is resident for tax purposes in both Count</w:t>
      </w:r>
      <w:r>
        <w:t>r</w:t>
      </w:r>
      <w:r w:rsidRPr="00CE0C66">
        <w:t>y X and Country Y.</w:t>
      </w:r>
    </w:p>
    <w:p w14:paraId="0EC077BC" w14:textId="77777777" w:rsidR="00F65F06" w:rsidRPr="00CE0C66" w:rsidRDefault="00F65F06" w:rsidP="00F65F06">
      <w:pPr>
        <w:pStyle w:val="ListBullet"/>
        <w:numPr>
          <w:ilvl w:val="0"/>
          <w:numId w:val="1"/>
        </w:numPr>
      </w:pPr>
      <w:r w:rsidRPr="003D3EC4">
        <w:t>A Co 1 is consolidated with A Co 2 under Country</w:t>
      </w:r>
      <w:r w:rsidRPr="00CE0C66">
        <w:t xml:space="preserve"> X law.</w:t>
      </w:r>
    </w:p>
    <w:p w14:paraId="08BE16E1" w14:textId="77777777" w:rsidR="00F65F06" w:rsidRPr="00CE0C66" w:rsidRDefault="00F65F06" w:rsidP="00F65F06">
      <w:pPr>
        <w:pStyle w:val="ListBullet"/>
        <w:numPr>
          <w:ilvl w:val="0"/>
          <w:numId w:val="1"/>
        </w:numPr>
      </w:pPr>
      <w:r w:rsidRPr="003D3EC4">
        <w:t>A Co 2 acquires all of the shares in B Co.</w:t>
      </w:r>
    </w:p>
    <w:p w14:paraId="7F807653" w14:textId="77777777" w:rsidR="00F65F06" w:rsidRPr="00CE0C66" w:rsidRDefault="00F65F06" w:rsidP="00F65F06">
      <w:pPr>
        <w:pStyle w:val="ListBullet"/>
        <w:numPr>
          <w:ilvl w:val="0"/>
          <w:numId w:val="1"/>
        </w:numPr>
      </w:pPr>
      <w:r w:rsidRPr="003D3EC4">
        <w:t xml:space="preserve">B Co is </w:t>
      </w:r>
      <w:r w:rsidRPr="00CE0C66">
        <w:t>treated as a separate entity under Country X law, but is recognised as fiscally transparent under Country Y law.</w:t>
      </w:r>
    </w:p>
    <w:p w14:paraId="7E483E04" w14:textId="77777777" w:rsidR="00F65F06" w:rsidRPr="00CE0C66" w:rsidRDefault="00F65F06" w:rsidP="00F65F06">
      <w:pPr>
        <w:pStyle w:val="ListBullet"/>
        <w:numPr>
          <w:ilvl w:val="0"/>
          <w:numId w:val="1"/>
        </w:numPr>
      </w:pPr>
      <w:r w:rsidRPr="003D3EC4">
        <w:t>A Co 2 borrows money from a bank.</w:t>
      </w:r>
      <w:r w:rsidRPr="00CE0C66">
        <w:t xml:space="preserve"> The loan interest (150) is deductible in both Country X and Country Y. </w:t>
      </w:r>
    </w:p>
    <w:p w14:paraId="34802700" w14:textId="77777777" w:rsidR="00F65F06" w:rsidRPr="00CE0C66" w:rsidRDefault="00F65F06" w:rsidP="00F65F06">
      <w:pPr>
        <w:pStyle w:val="ListBullet"/>
        <w:numPr>
          <w:ilvl w:val="0"/>
          <w:numId w:val="1"/>
        </w:numPr>
      </w:pPr>
      <w:r w:rsidRPr="003D3EC4">
        <w:t>Operating income of 300 arises to A Co 1, and 350 to B Co.</w:t>
      </w:r>
    </w:p>
    <w:p w14:paraId="3364F51B" w14:textId="77777777" w:rsidR="00F65F06" w:rsidRPr="00CE0C66" w:rsidRDefault="00F65F06" w:rsidP="00F65F06">
      <w:pPr>
        <w:pStyle w:val="ListBullet"/>
        <w:numPr>
          <w:ilvl w:val="0"/>
          <w:numId w:val="1"/>
        </w:numPr>
      </w:pPr>
      <w:r w:rsidRPr="003D3EC4">
        <w:t>A Co 2 has no other income or expenditure.</w:t>
      </w:r>
    </w:p>
    <w:p w14:paraId="431BD8F0" w14:textId="77777777" w:rsidR="00F65F06" w:rsidRDefault="00F65F06" w:rsidP="00F65F06">
      <w:r w:rsidRPr="00E65630">
        <w:t>Without counteraction the combined position for the AB group is set out below:</w:t>
      </w:r>
    </w:p>
    <w:p w14:paraId="1E5E37A5" w14:textId="77777777" w:rsidR="00F65F06" w:rsidRPr="001D5020" w:rsidRDefault="00F65F06" w:rsidP="00F65F06">
      <w:pPr>
        <w:pStyle w:val="BodyText"/>
        <w:rPr>
          <w:b/>
          <w:bCs/>
        </w:rPr>
      </w:pPr>
      <w:r w:rsidRPr="001D5020">
        <w:rPr>
          <w:b/>
          <w:bCs/>
        </w:rPr>
        <w:t>Country X</w:t>
      </w:r>
      <w:r w:rsidRPr="001D5020">
        <w:rPr>
          <w:b/>
          <w:bCs/>
        </w:rPr>
        <w:tab/>
      </w:r>
      <w:r w:rsidRPr="001D5020">
        <w:rPr>
          <w:b/>
          <w:bCs/>
        </w:rPr>
        <w:tab/>
      </w:r>
      <w:r w:rsidRPr="001D5020">
        <w:rPr>
          <w:b/>
          <w:bCs/>
        </w:rPr>
        <w:tab/>
      </w:r>
      <w:r w:rsidRPr="001D5020">
        <w:rPr>
          <w:b/>
          <w:bCs/>
        </w:rPr>
        <w:tab/>
      </w:r>
      <w:r w:rsidRPr="001D5020">
        <w:rPr>
          <w:b/>
          <w:bCs/>
        </w:rPr>
        <w:tab/>
        <w:t>Country Y</w:t>
      </w:r>
    </w:p>
    <w:p w14:paraId="1F898139" w14:textId="77777777" w:rsidR="00F65F06" w:rsidRPr="001D5020" w:rsidRDefault="00F65F06" w:rsidP="00F65F06">
      <w:pPr>
        <w:pStyle w:val="BodyText"/>
        <w:rPr>
          <w:b/>
          <w:bCs/>
        </w:rPr>
      </w:pPr>
      <w:r w:rsidRPr="001D5020">
        <w:rPr>
          <w:b/>
          <w:bCs/>
        </w:rPr>
        <w:t>A Co 1 and A Co 2 combined</w:t>
      </w:r>
      <w:r w:rsidRPr="001D5020">
        <w:rPr>
          <w:b/>
          <w:bCs/>
        </w:rPr>
        <w:tab/>
      </w:r>
      <w:r w:rsidRPr="001D5020">
        <w:rPr>
          <w:b/>
          <w:bCs/>
        </w:rPr>
        <w:tab/>
        <w:t>A Co 2 and B Co combined</w:t>
      </w:r>
    </w:p>
    <w:tbl>
      <w:tblPr>
        <w:tblStyle w:val="TableGrid1"/>
        <w:tblW w:w="8867" w:type="dxa"/>
        <w:tblLook w:val="04A0" w:firstRow="1" w:lastRow="0" w:firstColumn="1" w:lastColumn="0" w:noHBand="0" w:noVBand="1"/>
      </w:tblPr>
      <w:tblGrid>
        <w:gridCol w:w="2565"/>
        <w:gridCol w:w="765"/>
        <w:gridCol w:w="993"/>
        <w:gridCol w:w="2991"/>
        <w:gridCol w:w="789"/>
        <w:gridCol w:w="764"/>
      </w:tblGrid>
      <w:tr w:rsidR="00F65F06" w:rsidRPr="00E65630" w14:paraId="24BB09CE" w14:textId="77777777" w:rsidTr="0054295F">
        <w:trPr>
          <w:trHeight w:val="265"/>
        </w:trPr>
        <w:tc>
          <w:tcPr>
            <w:tcW w:w="2565" w:type="dxa"/>
            <w:noWrap/>
            <w:hideMark/>
          </w:tcPr>
          <w:p w14:paraId="792F17BC" w14:textId="77777777" w:rsidR="00F65F06" w:rsidRPr="00CE0C66" w:rsidRDefault="00F65F06" w:rsidP="0054295F">
            <w:pPr>
              <w:pStyle w:val="BodyText"/>
            </w:pPr>
            <w:r w:rsidRPr="007429E6">
              <w:lastRenderedPageBreak/>
              <w:t> </w:t>
            </w:r>
          </w:p>
          <w:p w14:paraId="1EAE71B3" w14:textId="77777777" w:rsidR="00F65F06" w:rsidRPr="00CE0C66" w:rsidRDefault="00F65F06" w:rsidP="0054295F">
            <w:pPr>
              <w:pStyle w:val="BodyText"/>
            </w:pPr>
            <w:r w:rsidRPr="007429E6">
              <w:t> </w:t>
            </w:r>
          </w:p>
          <w:p w14:paraId="254C90CF" w14:textId="77777777" w:rsidR="00F65F06" w:rsidRPr="00CE0C66" w:rsidRDefault="00F65F06" w:rsidP="0054295F">
            <w:pPr>
              <w:pStyle w:val="BodyText"/>
            </w:pPr>
            <w:r w:rsidRPr="007429E6">
              <w:t> </w:t>
            </w:r>
          </w:p>
          <w:p w14:paraId="055C1232" w14:textId="77777777" w:rsidR="00F65F06" w:rsidRPr="00CE0C66" w:rsidRDefault="00F65F06" w:rsidP="0054295F">
            <w:pPr>
              <w:pStyle w:val="BodyText"/>
            </w:pPr>
            <w:r w:rsidRPr="007429E6">
              <w:t> </w:t>
            </w:r>
          </w:p>
        </w:tc>
        <w:tc>
          <w:tcPr>
            <w:tcW w:w="765" w:type="dxa"/>
            <w:noWrap/>
            <w:hideMark/>
          </w:tcPr>
          <w:p w14:paraId="3832B619" w14:textId="77777777" w:rsidR="00F65F06" w:rsidRPr="00CE0C66" w:rsidRDefault="00F65F06" w:rsidP="0054295F">
            <w:pPr>
              <w:pStyle w:val="BodyText"/>
            </w:pPr>
            <w:r w:rsidRPr="007429E6">
              <w:t>Tax</w:t>
            </w:r>
          </w:p>
        </w:tc>
        <w:tc>
          <w:tcPr>
            <w:tcW w:w="993" w:type="dxa"/>
            <w:noWrap/>
            <w:hideMark/>
          </w:tcPr>
          <w:p w14:paraId="0C809DD3" w14:textId="77777777" w:rsidR="00F65F06" w:rsidRPr="00CE0C66" w:rsidRDefault="00F65F06" w:rsidP="0054295F">
            <w:pPr>
              <w:pStyle w:val="BodyText"/>
            </w:pPr>
            <w:r w:rsidRPr="007429E6">
              <w:t>Book</w:t>
            </w:r>
          </w:p>
        </w:tc>
        <w:tc>
          <w:tcPr>
            <w:tcW w:w="2991" w:type="dxa"/>
            <w:noWrap/>
            <w:hideMark/>
          </w:tcPr>
          <w:p w14:paraId="3D3358BB" w14:textId="77777777" w:rsidR="00F65F06" w:rsidRPr="00CE0C66" w:rsidRDefault="00F65F06" w:rsidP="0054295F">
            <w:pPr>
              <w:pStyle w:val="BodyText"/>
            </w:pPr>
            <w:r w:rsidRPr="007429E6">
              <w:t> </w:t>
            </w:r>
          </w:p>
          <w:p w14:paraId="75DFD6CC" w14:textId="77777777" w:rsidR="00F65F06" w:rsidRPr="00CE0C66" w:rsidRDefault="00F65F06" w:rsidP="0054295F">
            <w:pPr>
              <w:pStyle w:val="BodyText"/>
            </w:pPr>
            <w:r w:rsidRPr="007429E6">
              <w:t> </w:t>
            </w:r>
          </w:p>
          <w:p w14:paraId="27403A49" w14:textId="77777777" w:rsidR="00F65F06" w:rsidRPr="00CE0C66" w:rsidRDefault="00F65F06" w:rsidP="0054295F">
            <w:pPr>
              <w:pStyle w:val="BodyText"/>
            </w:pPr>
            <w:r w:rsidRPr="007429E6">
              <w:t> </w:t>
            </w:r>
          </w:p>
          <w:p w14:paraId="6608C4D4" w14:textId="77777777" w:rsidR="00F65F06" w:rsidRPr="00CE0C66" w:rsidRDefault="00F65F06" w:rsidP="0054295F">
            <w:pPr>
              <w:pStyle w:val="BodyText"/>
            </w:pPr>
            <w:r w:rsidRPr="007429E6">
              <w:t> </w:t>
            </w:r>
          </w:p>
        </w:tc>
        <w:tc>
          <w:tcPr>
            <w:tcW w:w="789" w:type="dxa"/>
            <w:noWrap/>
            <w:hideMark/>
          </w:tcPr>
          <w:p w14:paraId="7973EFB3" w14:textId="77777777" w:rsidR="00F65F06" w:rsidRPr="00CE0C66" w:rsidRDefault="00F65F06" w:rsidP="0054295F">
            <w:pPr>
              <w:pStyle w:val="BodyText"/>
            </w:pPr>
            <w:r w:rsidRPr="007429E6">
              <w:t>Tax</w:t>
            </w:r>
          </w:p>
        </w:tc>
        <w:tc>
          <w:tcPr>
            <w:tcW w:w="764" w:type="dxa"/>
            <w:noWrap/>
            <w:hideMark/>
          </w:tcPr>
          <w:p w14:paraId="6FBF9B70" w14:textId="77777777" w:rsidR="00F65F06" w:rsidRPr="00CE0C66" w:rsidRDefault="00F65F06" w:rsidP="0054295F">
            <w:pPr>
              <w:pStyle w:val="BodyText"/>
            </w:pPr>
            <w:r w:rsidRPr="007429E6">
              <w:t>Book</w:t>
            </w:r>
          </w:p>
        </w:tc>
      </w:tr>
      <w:tr w:rsidR="00F65F06" w:rsidRPr="00E65630" w14:paraId="6B3A41B8" w14:textId="77777777" w:rsidTr="0054295F">
        <w:trPr>
          <w:trHeight w:val="265"/>
        </w:trPr>
        <w:tc>
          <w:tcPr>
            <w:tcW w:w="2565" w:type="dxa"/>
            <w:noWrap/>
            <w:hideMark/>
          </w:tcPr>
          <w:p w14:paraId="3673EFE4" w14:textId="77777777" w:rsidR="00F65F06" w:rsidRPr="007429E6" w:rsidRDefault="00F65F06" w:rsidP="0054295F">
            <w:r w:rsidRPr="007429E6">
              <w:t>Income</w:t>
            </w:r>
          </w:p>
        </w:tc>
        <w:tc>
          <w:tcPr>
            <w:tcW w:w="765" w:type="dxa"/>
            <w:noWrap/>
            <w:hideMark/>
          </w:tcPr>
          <w:p w14:paraId="18C6BF51" w14:textId="77777777" w:rsidR="00F65F06" w:rsidRPr="007429E6" w:rsidRDefault="00F65F06" w:rsidP="0054295F"/>
        </w:tc>
        <w:tc>
          <w:tcPr>
            <w:tcW w:w="993" w:type="dxa"/>
            <w:noWrap/>
            <w:hideMark/>
          </w:tcPr>
          <w:p w14:paraId="1BA656D4" w14:textId="77777777" w:rsidR="00F65F06" w:rsidRPr="00CE0C66" w:rsidRDefault="00F65F06" w:rsidP="0054295F">
            <w:pPr>
              <w:pStyle w:val="BodyText"/>
            </w:pPr>
            <w:r w:rsidRPr="007429E6">
              <w:t> </w:t>
            </w:r>
          </w:p>
        </w:tc>
        <w:tc>
          <w:tcPr>
            <w:tcW w:w="2991" w:type="dxa"/>
            <w:noWrap/>
            <w:hideMark/>
          </w:tcPr>
          <w:p w14:paraId="575DB2AB" w14:textId="77777777" w:rsidR="00F65F06" w:rsidRPr="007429E6" w:rsidRDefault="00F65F06" w:rsidP="0054295F">
            <w:r w:rsidRPr="007429E6">
              <w:t>Income</w:t>
            </w:r>
          </w:p>
        </w:tc>
        <w:tc>
          <w:tcPr>
            <w:tcW w:w="789" w:type="dxa"/>
            <w:noWrap/>
            <w:hideMark/>
          </w:tcPr>
          <w:p w14:paraId="409C380B" w14:textId="77777777" w:rsidR="00F65F06" w:rsidRPr="007429E6" w:rsidRDefault="00F65F06" w:rsidP="0054295F"/>
        </w:tc>
        <w:tc>
          <w:tcPr>
            <w:tcW w:w="764" w:type="dxa"/>
            <w:noWrap/>
            <w:hideMark/>
          </w:tcPr>
          <w:p w14:paraId="441EC361" w14:textId="77777777" w:rsidR="00F65F06" w:rsidRPr="00CE0C66" w:rsidRDefault="00F65F06" w:rsidP="0054295F">
            <w:pPr>
              <w:pStyle w:val="BodyText"/>
            </w:pPr>
            <w:r w:rsidRPr="007429E6">
              <w:t> </w:t>
            </w:r>
          </w:p>
        </w:tc>
      </w:tr>
      <w:tr w:rsidR="00F65F06" w:rsidRPr="00E65630" w14:paraId="43E20334" w14:textId="77777777" w:rsidTr="0054295F">
        <w:trPr>
          <w:trHeight w:val="265"/>
        </w:trPr>
        <w:tc>
          <w:tcPr>
            <w:tcW w:w="2565" w:type="dxa"/>
            <w:noWrap/>
            <w:hideMark/>
          </w:tcPr>
          <w:p w14:paraId="34F815BF" w14:textId="77777777" w:rsidR="00F65F06" w:rsidRPr="007429E6" w:rsidRDefault="00F65F06" w:rsidP="0054295F">
            <w:r w:rsidRPr="007429E6">
              <w:t>Operating income of A Co 1</w:t>
            </w:r>
          </w:p>
        </w:tc>
        <w:tc>
          <w:tcPr>
            <w:tcW w:w="765" w:type="dxa"/>
            <w:noWrap/>
            <w:hideMark/>
          </w:tcPr>
          <w:p w14:paraId="2C671B6D" w14:textId="77777777" w:rsidR="00F65F06" w:rsidRPr="00CE0C66" w:rsidRDefault="00F65F06" w:rsidP="0054295F">
            <w:pPr>
              <w:pStyle w:val="BodyText"/>
            </w:pPr>
            <w:r w:rsidRPr="007429E6">
              <w:t>300</w:t>
            </w:r>
          </w:p>
        </w:tc>
        <w:tc>
          <w:tcPr>
            <w:tcW w:w="993" w:type="dxa"/>
            <w:noWrap/>
            <w:hideMark/>
          </w:tcPr>
          <w:p w14:paraId="0A93F2AD" w14:textId="77777777" w:rsidR="00F65F06" w:rsidRPr="00CE0C66" w:rsidRDefault="00F65F06" w:rsidP="0054295F">
            <w:pPr>
              <w:pStyle w:val="BodyText"/>
            </w:pPr>
            <w:r w:rsidRPr="007429E6">
              <w:t>300</w:t>
            </w:r>
          </w:p>
        </w:tc>
        <w:tc>
          <w:tcPr>
            <w:tcW w:w="2991" w:type="dxa"/>
            <w:noWrap/>
            <w:hideMark/>
          </w:tcPr>
          <w:p w14:paraId="68D194A9" w14:textId="77777777" w:rsidR="00F65F06" w:rsidRPr="007429E6" w:rsidRDefault="00F65F06" w:rsidP="0054295F">
            <w:r w:rsidRPr="007429E6">
              <w:t>Operating income of B Co</w:t>
            </w:r>
          </w:p>
        </w:tc>
        <w:tc>
          <w:tcPr>
            <w:tcW w:w="789" w:type="dxa"/>
            <w:noWrap/>
            <w:hideMark/>
          </w:tcPr>
          <w:p w14:paraId="4B4111FA" w14:textId="77777777" w:rsidR="00F65F06" w:rsidRPr="00CE0C66" w:rsidRDefault="00F65F06" w:rsidP="0054295F">
            <w:pPr>
              <w:pStyle w:val="BodyText"/>
            </w:pPr>
            <w:r w:rsidRPr="007429E6">
              <w:t>350</w:t>
            </w:r>
          </w:p>
        </w:tc>
        <w:tc>
          <w:tcPr>
            <w:tcW w:w="764" w:type="dxa"/>
            <w:noWrap/>
            <w:hideMark/>
          </w:tcPr>
          <w:p w14:paraId="1A5B83F5" w14:textId="77777777" w:rsidR="00F65F06" w:rsidRPr="00CE0C66" w:rsidRDefault="00F65F06" w:rsidP="0054295F">
            <w:pPr>
              <w:pStyle w:val="BodyText"/>
            </w:pPr>
            <w:r w:rsidRPr="007429E6">
              <w:t>350</w:t>
            </w:r>
          </w:p>
        </w:tc>
      </w:tr>
      <w:tr w:rsidR="00F65F06" w:rsidRPr="00E65630" w14:paraId="5C49E716" w14:textId="77777777" w:rsidTr="0054295F">
        <w:trPr>
          <w:trHeight w:val="265"/>
        </w:trPr>
        <w:tc>
          <w:tcPr>
            <w:tcW w:w="2565" w:type="dxa"/>
            <w:noWrap/>
            <w:hideMark/>
          </w:tcPr>
          <w:p w14:paraId="50A1BA61" w14:textId="77777777" w:rsidR="00F65F06" w:rsidRPr="007429E6" w:rsidRDefault="00F65F06" w:rsidP="0054295F">
            <w:r w:rsidRPr="007429E6">
              <w:t> </w:t>
            </w:r>
          </w:p>
        </w:tc>
        <w:tc>
          <w:tcPr>
            <w:tcW w:w="765" w:type="dxa"/>
            <w:noWrap/>
            <w:hideMark/>
          </w:tcPr>
          <w:p w14:paraId="677808EE" w14:textId="77777777" w:rsidR="00F65F06" w:rsidRPr="007429E6" w:rsidRDefault="00F65F06" w:rsidP="0054295F"/>
        </w:tc>
        <w:tc>
          <w:tcPr>
            <w:tcW w:w="993" w:type="dxa"/>
            <w:noWrap/>
            <w:hideMark/>
          </w:tcPr>
          <w:p w14:paraId="02FB8FAC" w14:textId="77777777" w:rsidR="00F65F06" w:rsidRPr="00CE0C66" w:rsidRDefault="00F65F06" w:rsidP="0054295F">
            <w:pPr>
              <w:pStyle w:val="BodyText"/>
            </w:pPr>
            <w:r w:rsidRPr="007429E6">
              <w:t> </w:t>
            </w:r>
          </w:p>
        </w:tc>
        <w:tc>
          <w:tcPr>
            <w:tcW w:w="2991" w:type="dxa"/>
            <w:noWrap/>
            <w:hideMark/>
          </w:tcPr>
          <w:p w14:paraId="07C35A9B" w14:textId="77777777" w:rsidR="00F65F06" w:rsidRPr="007429E6" w:rsidRDefault="00F65F06" w:rsidP="0054295F">
            <w:r w:rsidRPr="007429E6">
              <w:t> </w:t>
            </w:r>
          </w:p>
        </w:tc>
        <w:tc>
          <w:tcPr>
            <w:tcW w:w="789" w:type="dxa"/>
            <w:noWrap/>
            <w:hideMark/>
          </w:tcPr>
          <w:p w14:paraId="6C77AAB9" w14:textId="77777777" w:rsidR="00F65F06" w:rsidRPr="007429E6" w:rsidRDefault="00F65F06" w:rsidP="0054295F"/>
        </w:tc>
        <w:tc>
          <w:tcPr>
            <w:tcW w:w="764" w:type="dxa"/>
            <w:noWrap/>
            <w:hideMark/>
          </w:tcPr>
          <w:p w14:paraId="45DD77CE" w14:textId="77777777" w:rsidR="00F65F06" w:rsidRPr="00CE0C66" w:rsidRDefault="00F65F06" w:rsidP="0054295F">
            <w:pPr>
              <w:pStyle w:val="BodyText"/>
            </w:pPr>
            <w:r w:rsidRPr="007429E6">
              <w:t> </w:t>
            </w:r>
          </w:p>
        </w:tc>
      </w:tr>
      <w:tr w:rsidR="00F65F06" w:rsidRPr="00E65630" w14:paraId="076A1285" w14:textId="77777777" w:rsidTr="0054295F">
        <w:trPr>
          <w:trHeight w:val="265"/>
        </w:trPr>
        <w:tc>
          <w:tcPr>
            <w:tcW w:w="2565" w:type="dxa"/>
            <w:noWrap/>
            <w:hideMark/>
          </w:tcPr>
          <w:p w14:paraId="1A331B40" w14:textId="77777777" w:rsidR="00F65F06" w:rsidRPr="007429E6" w:rsidRDefault="00F65F06" w:rsidP="0054295F">
            <w:r w:rsidRPr="007429E6">
              <w:t>Expenditure</w:t>
            </w:r>
          </w:p>
        </w:tc>
        <w:tc>
          <w:tcPr>
            <w:tcW w:w="765" w:type="dxa"/>
            <w:noWrap/>
            <w:hideMark/>
          </w:tcPr>
          <w:p w14:paraId="35A91B13" w14:textId="77777777" w:rsidR="00F65F06" w:rsidRPr="007429E6" w:rsidRDefault="00F65F06" w:rsidP="0054295F"/>
        </w:tc>
        <w:tc>
          <w:tcPr>
            <w:tcW w:w="993" w:type="dxa"/>
            <w:noWrap/>
            <w:hideMark/>
          </w:tcPr>
          <w:p w14:paraId="338083EA" w14:textId="77777777" w:rsidR="00F65F06" w:rsidRPr="00CE0C66" w:rsidRDefault="00F65F06" w:rsidP="0054295F">
            <w:pPr>
              <w:pStyle w:val="BodyText"/>
            </w:pPr>
            <w:r w:rsidRPr="007429E6">
              <w:t> </w:t>
            </w:r>
          </w:p>
        </w:tc>
        <w:tc>
          <w:tcPr>
            <w:tcW w:w="2991" w:type="dxa"/>
            <w:noWrap/>
            <w:hideMark/>
          </w:tcPr>
          <w:p w14:paraId="645183F1" w14:textId="77777777" w:rsidR="00F65F06" w:rsidRPr="007429E6" w:rsidRDefault="00F65F06" w:rsidP="0054295F">
            <w:r w:rsidRPr="007429E6">
              <w:t>Expenditure</w:t>
            </w:r>
          </w:p>
        </w:tc>
        <w:tc>
          <w:tcPr>
            <w:tcW w:w="789" w:type="dxa"/>
            <w:noWrap/>
            <w:hideMark/>
          </w:tcPr>
          <w:p w14:paraId="263FAFE2" w14:textId="77777777" w:rsidR="00F65F06" w:rsidRPr="007429E6" w:rsidRDefault="00F65F06" w:rsidP="0054295F"/>
        </w:tc>
        <w:tc>
          <w:tcPr>
            <w:tcW w:w="764" w:type="dxa"/>
            <w:noWrap/>
            <w:hideMark/>
          </w:tcPr>
          <w:p w14:paraId="744B4A30" w14:textId="77777777" w:rsidR="00F65F06" w:rsidRPr="00CE0C66" w:rsidRDefault="00F65F06" w:rsidP="0054295F">
            <w:pPr>
              <w:pStyle w:val="BodyText"/>
            </w:pPr>
            <w:r w:rsidRPr="007429E6">
              <w:t> </w:t>
            </w:r>
          </w:p>
        </w:tc>
      </w:tr>
      <w:tr w:rsidR="00F65F06" w:rsidRPr="00E65630" w14:paraId="61C84403" w14:textId="77777777" w:rsidTr="0054295F">
        <w:trPr>
          <w:trHeight w:val="265"/>
        </w:trPr>
        <w:tc>
          <w:tcPr>
            <w:tcW w:w="2565" w:type="dxa"/>
            <w:noWrap/>
            <w:hideMark/>
          </w:tcPr>
          <w:p w14:paraId="0B552E32" w14:textId="77777777" w:rsidR="00F65F06" w:rsidRPr="007429E6" w:rsidRDefault="00F65F06" w:rsidP="0054295F">
            <w:r w:rsidRPr="007429E6">
              <w:t>Interest Paid by A Co 2 to bank</w:t>
            </w:r>
          </w:p>
        </w:tc>
        <w:tc>
          <w:tcPr>
            <w:tcW w:w="765" w:type="dxa"/>
            <w:noWrap/>
            <w:hideMark/>
          </w:tcPr>
          <w:p w14:paraId="5DD9D847" w14:textId="77777777" w:rsidR="00F65F06" w:rsidRPr="00CE0C66" w:rsidRDefault="00F65F06" w:rsidP="0054295F">
            <w:pPr>
              <w:pStyle w:val="BodyText"/>
            </w:pPr>
            <w:r w:rsidRPr="007429E6">
              <w:t>-150</w:t>
            </w:r>
          </w:p>
        </w:tc>
        <w:tc>
          <w:tcPr>
            <w:tcW w:w="993" w:type="dxa"/>
            <w:noWrap/>
            <w:hideMark/>
          </w:tcPr>
          <w:p w14:paraId="094B0AC4" w14:textId="77777777" w:rsidR="00F65F06" w:rsidRPr="00CE0C66" w:rsidRDefault="00F65F06" w:rsidP="0054295F">
            <w:pPr>
              <w:pStyle w:val="BodyText"/>
            </w:pPr>
            <w:r w:rsidRPr="007429E6">
              <w:t> </w:t>
            </w:r>
          </w:p>
        </w:tc>
        <w:tc>
          <w:tcPr>
            <w:tcW w:w="2991" w:type="dxa"/>
            <w:noWrap/>
            <w:hideMark/>
          </w:tcPr>
          <w:p w14:paraId="1EE8B50E" w14:textId="77777777" w:rsidR="00F65F06" w:rsidRPr="007429E6" w:rsidRDefault="00F65F06" w:rsidP="0054295F">
            <w:r w:rsidRPr="007429E6">
              <w:t>Interest Paid by A Co 2 to bank</w:t>
            </w:r>
          </w:p>
        </w:tc>
        <w:tc>
          <w:tcPr>
            <w:tcW w:w="789" w:type="dxa"/>
            <w:noWrap/>
            <w:hideMark/>
          </w:tcPr>
          <w:p w14:paraId="6076A83C" w14:textId="77777777" w:rsidR="00F65F06" w:rsidRPr="00CE0C66" w:rsidRDefault="00F65F06" w:rsidP="0054295F">
            <w:pPr>
              <w:pStyle w:val="BodyText"/>
            </w:pPr>
            <w:r w:rsidRPr="007429E6">
              <w:t>-150</w:t>
            </w:r>
          </w:p>
        </w:tc>
        <w:tc>
          <w:tcPr>
            <w:tcW w:w="764" w:type="dxa"/>
            <w:noWrap/>
            <w:hideMark/>
          </w:tcPr>
          <w:p w14:paraId="4320F0F2" w14:textId="77777777" w:rsidR="00F65F06" w:rsidRPr="00CE0C66" w:rsidRDefault="00F65F06" w:rsidP="0054295F">
            <w:pPr>
              <w:pStyle w:val="BodyText"/>
            </w:pPr>
            <w:r w:rsidRPr="007429E6">
              <w:t>-150</w:t>
            </w:r>
          </w:p>
        </w:tc>
      </w:tr>
      <w:tr w:rsidR="00F65F06" w:rsidRPr="00E65630" w14:paraId="5AE74D3C" w14:textId="77777777" w:rsidTr="0054295F">
        <w:trPr>
          <w:trHeight w:val="265"/>
        </w:trPr>
        <w:tc>
          <w:tcPr>
            <w:tcW w:w="2565" w:type="dxa"/>
            <w:noWrap/>
            <w:hideMark/>
          </w:tcPr>
          <w:p w14:paraId="5AE60799" w14:textId="77777777" w:rsidR="00F65F06" w:rsidRPr="007429E6" w:rsidRDefault="00F65F06" w:rsidP="0054295F">
            <w:r w:rsidRPr="007429E6">
              <w:t> </w:t>
            </w:r>
          </w:p>
        </w:tc>
        <w:tc>
          <w:tcPr>
            <w:tcW w:w="765" w:type="dxa"/>
            <w:noWrap/>
            <w:hideMark/>
          </w:tcPr>
          <w:p w14:paraId="45BE509F" w14:textId="77777777" w:rsidR="00F65F06" w:rsidRPr="007429E6" w:rsidRDefault="00F65F06" w:rsidP="0054295F"/>
        </w:tc>
        <w:tc>
          <w:tcPr>
            <w:tcW w:w="993" w:type="dxa"/>
            <w:noWrap/>
            <w:hideMark/>
          </w:tcPr>
          <w:p w14:paraId="3127CE03" w14:textId="77777777" w:rsidR="00F65F06" w:rsidRPr="00CE0C66" w:rsidRDefault="00F65F06" w:rsidP="0054295F">
            <w:pPr>
              <w:pStyle w:val="BodyText"/>
            </w:pPr>
            <w:r w:rsidRPr="007429E6">
              <w:t> </w:t>
            </w:r>
          </w:p>
        </w:tc>
        <w:tc>
          <w:tcPr>
            <w:tcW w:w="2991" w:type="dxa"/>
            <w:noWrap/>
            <w:hideMark/>
          </w:tcPr>
          <w:p w14:paraId="5F17124B" w14:textId="77777777" w:rsidR="00F65F06" w:rsidRPr="007429E6" w:rsidRDefault="00F65F06" w:rsidP="0054295F">
            <w:r w:rsidRPr="007429E6">
              <w:t> </w:t>
            </w:r>
          </w:p>
        </w:tc>
        <w:tc>
          <w:tcPr>
            <w:tcW w:w="789" w:type="dxa"/>
            <w:noWrap/>
            <w:hideMark/>
          </w:tcPr>
          <w:p w14:paraId="1325B2D9" w14:textId="77777777" w:rsidR="00F65F06" w:rsidRPr="007429E6" w:rsidRDefault="00F65F06" w:rsidP="0054295F"/>
        </w:tc>
        <w:tc>
          <w:tcPr>
            <w:tcW w:w="764" w:type="dxa"/>
            <w:noWrap/>
            <w:hideMark/>
          </w:tcPr>
          <w:p w14:paraId="284ADC04" w14:textId="77777777" w:rsidR="00F65F06" w:rsidRPr="00CE0C66" w:rsidRDefault="00F65F06" w:rsidP="0054295F">
            <w:pPr>
              <w:pStyle w:val="BodyText"/>
            </w:pPr>
            <w:r w:rsidRPr="007429E6">
              <w:t> </w:t>
            </w:r>
          </w:p>
        </w:tc>
      </w:tr>
      <w:tr w:rsidR="00F65F06" w:rsidRPr="00E65630" w14:paraId="34115917" w14:textId="77777777" w:rsidTr="0054295F">
        <w:trPr>
          <w:trHeight w:val="265"/>
        </w:trPr>
        <w:tc>
          <w:tcPr>
            <w:tcW w:w="2565" w:type="dxa"/>
            <w:noWrap/>
            <w:hideMark/>
          </w:tcPr>
          <w:p w14:paraId="768AD115" w14:textId="77777777" w:rsidR="00F65F06" w:rsidRPr="007429E6" w:rsidRDefault="00F65F06" w:rsidP="0054295F">
            <w:r w:rsidRPr="007429E6">
              <w:t>Net profit</w:t>
            </w:r>
          </w:p>
        </w:tc>
        <w:tc>
          <w:tcPr>
            <w:tcW w:w="765" w:type="dxa"/>
            <w:noWrap/>
            <w:hideMark/>
          </w:tcPr>
          <w:p w14:paraId="46840E1C" w14:textId="77777777" w:rsidR="00F65F06" w:rsidRPr="007429E6" w:rsidRDefault="00F65F06" w:rsidP="0054295F"/>
        </w:tc>
        <w:tc>
          <w:tcPr>
            <w:tcW w:w="993" w:type="dxa"/>
            <w:noWrap/>
            <w:hideMark/>
          </w:tcPr>
          <w:p w14:paraId="531E2F33" w14:textId="77777777" w:rsidR="00F65F06" w:rsidRPr="00CE0C66" w:rsidRDefault="00F65F06" w:rsidP="0054295F">
            <w:pPr>
              <w:pStyle w:val="BodyText"/>
            </w:pPr>
            <w:r w:rsidRPr="007429E6">
              <w:t>300</w:t>
            </w:r>
          </w:p>
        </w:tc>
        <w:tc>
          <w:tcPr>
            <w:tcW w:w="2991" w:type="dxa"/>
            <w:noWrap/>
            <w:hideMark/>
          </w:tcPr>
          <w:p w14:paraId="48058800" w14:textId="77777777" w:rsidR="00F65F06" w:rsidRPr="007429E6" w:rsidRDefault="00F65F06" w:rsidP="0054295F">
            <w:r w:rsidRPr="007429E6">
              <w:t>Net profit</w:t>
            </w:r>
          </w:p>
        </w:tc>
        <w:tc>
          <w:tcPr>
            <w:tcW w:w="789" w:type="dxa"/>
            <w:noWrap/>
            <w:hideMark/>
          </w:tcPr>
          <w:p w14:paraId="173F44FD" w14:textId="77777777" w:rsidR="00F65F06" w:rsidRPr="007429E6" w:rsidRDefault="00F65F06" w:rsidP="0054295F"/>
        </w:tc>
        <w:tc>
          <w:tcPr>
            <w:tcW w:w="764" w:type="dxa"/>
            <w:noWrap/>
            <w:hideMark/>
          </w:tcPr>
          <w:p w14:paraId="71466158" w14:textId="77777777" w:rsidR="00F65F06" w:rsidRPr="00CE0C66" w:rsidRDefault="00F65F06" w:rsidP="0054295F">
            <w:pPr>
              <w:pStyle w:val="BodyText"/>
            </w:pPr>
            <w:r w:rsidRPr="007429E6">
              <w:t>200</w:t>
            </w:r>
          </w:p>
        </w:tc>
      </w:tr>
      <w:tr w:rsidR="00F65F06" w:rsidRPr="00E65630" w14:paraId="3CD2776B" w14:textId="77777777" w:rsidTr="0054295F">
        <w:trPr>
          <w:trHeight w:val="265"/>
        </w:trPr>
        <w:tc>
          <w:tcPr>
            <w:tcW w:w="2565" w:type="dxa"/>
            <w:noWrap/>
            <w:hideMark/>
          </w:tcPr>
          <w:p w14:paraId="1893A565" w14:textId="77777777" w:rsidR="00F65F06" w:rsidRPr="00CE0C66" w:rsidRDefault="00F65F06" w:rsidP="0054295F">
            <w:pPr>
              <w:pStyle w:val="BodyText"/>
            </w:pPr>
            <w:r w:rsidRPr="007429E6">
              <w:t>Taxable profit</w:t>
            </w:r>
          </w:p>
          <w:p w14:paraId="733CC597" w14:textId="77777777" w:rsidR="00F65F06" w:rsidRPr="00CE0C66" w:rsidRDefault="00F65F06" w:rsidP="0054295F">
            <w:pPr>
              <w:pStyle w:val="BodyText"/>
            </w:pPr>
            <w:r w:rsidRPr="007429E6">
              <w:t> </w:t>
            </w:r>
          </w:p>
          <w:p w14:paraId="7D753101" w14:textId="77777777" w:rsidR="00F65F06" w:rsidRPr="00CE0C66" w:rsidRDefault="00F65F06" w:rsidP="0054295F">
            <w:pPr>
              <w:pStyle w:val="BodyText"/>
            </w:pPr>
            <w:r w:rsidRPr="007429E6">
              <w:t> </w:t>
            </w:r>
          </w:p>
        </w:tc>
        <w:tc>
          <w:tcPr>
            <w:tcW w:w="765" w:type="dxa"/>
            <w:noWrap/>
            <w:hideMark/>
          </w:tcPr>
          <w:p w14:paraId="13E5FD02" w14:textId="77777777" w:rsidR="00F65F06" w:rsidRPr="00CE0C66" w:rsidRDefault="00F65F06" w:rsidP="0054295F">
            <w:pPr>
              <w:pStyle w:val="BodyText"/>
            </w:pPr>
            <w:r w:rsidRPr="007429E6">
              <w:t>150</w:t>
            </w:r>
          </w:p>
        </w:tc>
        <w:tc>
          <w:tcPr>
            <w:tcW w:w="993" w:type="dxa"/>
            <w:noWrap/>
            <w:hideMark/>
          </w:tcPr>
          <w:p w14:paraId="79280320" w14:textId="77777777" w:rsidR="00F65F06" w:rsidRPr="00CE0C66" w:rsidRDefault="00F65F06" w:rsidP="0054295F">
            <w:pPr>
              <w:pStyle w:val="BodyText"/>
            </w:pPr>
            <w:r w:rsidRPr="007429E6">
              <w:t> </w:t>
            </w:r>
          </w:p>
        </w:tc>
        <w:tc>
          <w:tcPr>
            <w:tcW w:w="2991" w:type="dxa"/>
            <w:noWrap/>
            <w:hideMark/>
          </w:tcPr>
          <w:p w14:paraId="0F0CD4D2" w14:textId="77777777" w:rsidR="00F65F06" w:rsidRPr="00CE0C66" w:rsidRDefault="00F65F06" w:rsidP="0054295F">
            <w:pPr>
              <w:pStyle w:val="BodyText"/>
            </w:pPr>
            <w:r w:rsidRPr="007429E6">
              <w:t>Taxable profit</w:t>
            </w:r>
          </w:p>
          <w:p w14:paraId="7A4D28DE" w14:textId="77777777" w:rsidR="00F65F06" w:rsidRPr="00CE0C66" w:rsidRDefault="00F65F06" w:rsidP="0054295F">
            <w:pPr>
              <w:pStyle w:val="BodyText"/>
            </w:pPr>
            <w:r w:rsidRPr="007429E6">
              <w:t> </w:t>
            </w:r>
          </w:p>
          <w:p w14:paraId="7D25CFC5" w14:textId="77777777" w:rsidR="00F65F06" w:rsidRPr="00CE0C66" w:rsidRDefault="00F65F06" w:rsidP="0054295F">
            <w:pPr>
              <w:pStyle w:val="BodyText"/>
            </w:pPr>
            <w:r w:rsidRPr="007429E6">
              <w:t> </w:t>
            </w:r>
          </w:p>
        </w:tc>
        <w:tc>
          <w:tcPr>
            <w:tcW w:w="789" w:type="dxa"/>
            <w:noWrap/>
            <w:hideMark/>
          </w:tcPr>
          <w:p w14:paraId="2EA0B3FA" w14:textId="77777777" w:rsidR="00F65F06" w:rsidRPr="00CE0C66" w:rsidRDefault="00F65F06" w:rsidP="0054295F">
            <w:pPr>
              <w:pStyle w:val="BodyText"/>
            </w:pPr>
            <w:r w:rsidRPr="007429E6">
              <w:t>200</w:t>
            </w:r>
          </w:p>
        </w:tc>
        <w:tc>
          <w:tcPr>
            <w:tcW w:w="764" w:type="dxa"/>
            <w:noWrap/>
            <w:hideMark/>
          </w:tcPr>
          <w:p w14:paraId="66253797" w14:textId="77777777" w:rsidR="00F65F06" w:rsidRPr="00CE0C66" w:rsidRDefault="00F65F06" w:rsidP="0054295F">
            <w:pPr>
              <w:pStyle w:val="BodyText"/>
            </w:pPr>
            <w:r w:rsidRPr="007429E6">
              <w:t> </w:t>
            </w:r>
          </w:p>
        </w:tc>
      </w:tr>
    </w:tbl>
    <w:p w14:paraId="713C1C5C" w14:textId="77777777" w:rsidR="00F65F06" w:rsidRDefault="00F65F06" w:rsidP="00F65F06">
      <w:pPr>
        <w:pStyle w:val="BodyText"/>
      </w:pPr>
    </w:p>
    <w:p w14:paraId="2A18E31E" w14:textId="77777777" w:rsidR="00F65F06" w:rsidRPr="003D3EC4" w:rsidRDefault="00F65F06" w:rsidP="00F65F06">
      <w:pPr>
        <w:pStyle w:val="BodyText"/>
      </w:pPr>
      <w:r w:rsidRPr="003D3EC4">
        <w:t>The net effect of the structure is that the AB group has a net return of 500 profits, but the taxable profits are only 350.</w:t>
      </w:r>
    </w:p>
    <w:p w14:paraId="17CDCCBE" w14:textId="77777777" w:rsidR="00F65F06" w:rsidRPr="00E65630" w:rsidRDefault="00F65F06" w:rsidP="00F65F06">
      <w:pPr>
        <w:pStyle w:val="Heading2"/>
      </w:pPr>
      <w:bookmarkStart w:id="3" w:name="_Toc468807062"/>
      <w:r w:rsidRPr="00E65630">
        <w:t>Analysis - Applying the tests at s</w:t>
      </w:r>
      <w:r>
        <w:t>259JA TIOPA 2010</w:t>
      </w:r>
      <w:bookmarkEnd w:id="3"/>
    </w:p>
    <w:p w14:paraId="4D345C81" w14:textId="77777777" w:rsidR="00F65F06" w:rsidRPr="00832D19" w:rsidRDefault="00F65F06" w:rsidP="00F65F06">
      <w:pPr>
        <w:pStyle w:val="BodyText"/>
      </w:pPr>
      <w:r w:rsidRPr="00832D19">
        <w:t>Does the interest payment by A Co</w:t>
      </w:r>
      <w:r>
        <w:t xml:space="preserve"> 2</w:t>
      </w:r>
      <w:r w:rsidRPr="00832D19">
        <w:t xml:space="preserve"> satisfy the relevant conditions to fall within the scope of the dual territory double </w:t>
      </w:r>
      <w:r w:rsidRPr="003D3EC4">
        <w:t>deduction</w:t>
      </w:r>
      <w:r w:rsidRPr="00832D19">
        <w:t xml:space="preserve"> rules?</w:t>
      </w:r>
    </w:p>
    <w:p w14:paraId="6CCDA5A4" w14:textId="77777777" w:rsidR="00F65F06" w:rsidRPr="007429E6" w:rsidRDefault="00F65F06" w:rsidP="00F65F06">
      <w:pPr>
        <w:pStyle w:val="Heading3"/>
      </w:pPr>
      <w:bookmarkStart w:id="4" w:name="_Toc468807063"/>
      <w:bookmarkStart w:id="5" w:name="_Toc468807066"/>
      <w:r w:rsidRPr="007429E6">
        <w:t>Condition A:</w:t>
      </w:r>
      <w:r>
        <w:t xml:space="preserve"> </w:t>
      </w:r>
      <w:r w:rsidRPr="007429E6">
        <w:t xml:space="preserve">Is </w:t>
      </w:r>
      <w:r>
        <w:t xml:space="preserve">there </w:t>
      </w:r>
      <w:r w:rsidRPr="007429E6">
        <w:t xml:space="preserve">a </w:t>
      </w:r>
      <w:r>
        <w:t xml:space="preserve">relevant multinational or a </w:t>
      </w:r>
      <w:r w:rsidRPr="007429E6">
        <w:t>dual-resident company?</w:t>
      </w:r>
      <w:bookmarkEnd w:id="4"/>
    </w:p>
    <w:p w14:paraId="28586A2F" w14:textId="77777777" w:rsidR="00F65F06" w:rsidRDefault="00F65F06" w:rsidP="00F65F06">
      <w:r w:rsidRPr="00B217D1">
        <w:t>The d</w:t>
      </w:r>
      <w:r>
        <w:t>efinition of a dual resident company is given at s259JA(3).</w:t>
      </w:r>
    </w:p>
    <w:p w14:paraId="62EE4C3D" w14:textId="77777777" w:rsidR="00F65F06" w:rsidRPr="003D3EC4" w:rsidRDefault="00F65F06" w:rsidP="00F65F06">
      <w:pPr>
        <w:pStyle w:val="BodyText"/>
      </w:pPr>
      <w:r w:rsidRPr="00B217D1">
        <w:t xml:space="preserve">Condition A </w:t>
      </w:r>
      <w:r>
        <w:t xml:space="preserve">is satisfied if the UK is </w:t>
      </w:r>
      <w:r w:rsidRPr="00E65630">
        <w:t>either Country X or Coun</w:t>
      </w:r>
      <w:r>
        <w:t>try Y</w:t>
      </w:r>
      <w:r w:rsidRPr="00E65630">
        <w:t xml:space="preserve">, as A Co 2 is resident for tax </w:t>
      </w:r>
      <w:r w:rsidRPr="003D3EC4">
        <w:t>purposes in both countries.</w:t>
      </w:r>
      <w:r>
        <w:t xml:space="preserve"> </w:t>
      </w:r>
    </w:p>
    <w:p w14:paraId="6AEF9EB8" w14:textId="77777777" w:rsidR="00F65F06" w:rsidRPr="00B217D1" w:rsidRDefault="00F65F06" w:rsidP="00F65F06">
      <w:r w:rsidRPr="00B217D1">
        <w:t xml:space="preserve">If the UK is neither Country X nor Country Y then the condition is not satisfied. If this is the case then the </w:t>
      </w:r>
      <w:r>
        <w:t>i</w:t>
      </w:r>
      <w:r w:rsidRPr="00B217D1">
        <w:t xml:space="preserve">mported </w:t>
      </w:r>
      <w:r>
        <w:t>m</w:t>
      </w:r>
      <w:r w:rsidRPr="00B217D1">
        <w:t>ismatch rules within s259K TIOPA 2010 should be considered.</w:t>
      </w:r>
    </w:p>
    <w:p w14:paraId="05A8DB87" w14:textId="77777777" w:rsidR="00F65F06" w:rsidRPr="007429E6" w:rsidRDefault="00F65F06" w:rsidP="00F65F06">
      <w:pPr>
        <w:pStyle w:val="Heading3"/>
      </w:pPr>
      <w:bookmarkStart w:id="6" w:name="_Toc468807064"/>
      <w:r w:rsidRPr="00CB2552">
        <w:lastRenderedPageBreak/>
        <w:t>Condition B: Is it reasonable to suppose that there is a dual territory double deduction that arises because the company is a relevant multinational or dual resident company?</w:t>
      </w:r>
      <w:bookmarkEnd w:id="6"/>
    </w:p>
    <w:p w14:paraId="39FA8610" w14:textId="77777777" w:rsidR="00F65F06" w:rsidRPr="003D3EC4" w:rsidRDefault="00F65F06" w:rsidP="00F65F06">
      <w:pPr>
        <w:pStyle w:val="BodyText"/>
      </w:pPr>
      <w:r w:rsidRPr="003D3EC4">
        <w:t xml:space="preserve">Under the laws of Country X, A Co 2 can deduct the 150 interest amount from its income for </w:t>
      </w:r>
      <w:r>
        <w:t>tax purposes.</w:t>
      </w:r>
    </w:p>
    <w:p w14:paraId="5AF5DA3E" w14:textId="77777777" w:rsidR="00F65F06" w:rsidRPr="003D3EC4" w:rsidRDefault="00F65F06" w:rsidP="00F65F06">
      <w:pPr>
        <w:pStyle w:val="BodyText"/>
      </w:pPr>
      <w:r>
        <w:t>U</w:t>
      </w:r>
      <w:r w:rsidRPr="003D3EC4">
        <w:t xml:space="preserve">nder the laws of Country Y, A Co 2 can </w:t>
      </w:r>
      <w:r>
        <w:t xml:space="preserve">also </w:t>
      </w:r>
      <w:r w:rsidRPr="003D3EC4">
        <w:t>deduct the 150 interest amount from its income for t</w:t>
      </w:r>
      <w:r>
        <w:t>ax</w:t>
      </w:r>
      <w:r w:rsidRPr="003D3EC4">
        <w:t xml:space="preserve"> purposes.</w:t>
      </w:r>
      <w:r>
        <w:t xml:space="preserve"> </w:t>
      </w:r>
    </w:p>
    <w:p w14:paraId="24C272D6" w14:textId="77777777" w:rsidR="00F65F06" w:rsidRPr="003D3EC4" w:rsidRDefault="00F65F06" w:rsidP="00F65F06">
      <w:pPr>
        <w:pStyle w:val="BodyText"/>
      </w:pPr>
      <w:r w:rsidRPr="003D3EC4">
        <w:t>Condition B is satisfied</w:t>
      </w:r>
      <w:r>
        <w:t>.  T</w:t>
      </w:r>
      <w:r w:rsidRPr="003D3EC4">
        <w:t>he extent of the dual territory double deduction amount is 150.</w:t>
      </w:r>
    </w:p>
    <w:p w14:paraId="52BC4E50" w14:textId="77777777" w:rsidR="00F65F06" w:rsidRPr="00832D19" w:rsidRDefault="00F65F06" w:rsidP="00F65F06">
      <w:pPr>
        <w:pStyle w:val="Heading3"/>
      </w:pPr>
      <w:bookmarkStart w:id="7" w:name="_Toc468807065"/>
      <w:r w:rsidRPr="00832D19">
        <w:t>Conclusion</w:t>
      </w:r>
      <w:bookmarkEnd w:id="7"/>
    </w:p>
    <w:p w14:paraId="1D153359" w14:textId="77777777" w:rsidR="00F65F06" w:rsidRPr="00E65630" w:rsidRDefault="00F65F06" w:rsidP="00F65F06">
      <w:pPr>
        <w:pStyle w:val="BodyText"/>
      </w:pPr>
      <w:r w:rsidRPr="00E65630">
        <w:t xml:space="preserve">As both </w:t>
      </w:r>
      <w:r w:rsidRPr="003D3EC4">
        <w:t>conditions</w:t>
      </w:r>
      <w:r w:rsidRPr="00E65630">
        <w:t xml:space="preserve"> are satisfied the relevant counteraction needs to be considered.</w:t>
      </w:r>
    </w:p>
    <w:p w14:paraId="515FA078" w14:textId="77777777" w:rsidR="00F65F06" w:rsidRPr="00E65630" w:rsidRDefault="00F65F06" w:rsidP="00F65F06">
      <w:pPr>
        <w:pStyle w:val="Heading2"/>
      </w:pPr>
      <w:r w:rsidRPr="00E65630">
        <w:t>Counteraction</w:t>
      </w:r>
      <w:bookmarkEnd w:id="5"/>
    </w:p>
    <w:p w14:paraId="5C9BEBD7" w14:textId="77777777" w:rsidR="00F65F06" w:rsidRPr="00E65630" w:rsidRDefault="00F65F06" w:rsidP="00F65F06">
      <w:r>
        <w:t>Where t</w:t>
      </w:r>
      <w:r w:rsidRPr="00E65630">
        <w:t xml:space="preserve">he dual </w:t>
      </w:r>
      <w:r>
        <w:t>territory</w:t>
      </w:r>
      <w:r w:rsidRPr="00E65630">
        <w:t xml:space="preserve"> double deduction mismatch</w:t>
      </w:r>
      <w:r>
        <w:t xml:space="preserve"> arises because the company is a dual resident company,</w:t>
      </w:r>
      <w:r w:rsidRPr="00E65630">
        <w:t xml:space="preserve"> s259</w:t>
      </w:r>
      <w:r>
        <w:t>J</w:t>
      </w:r>
      <w:r w:rsidRPr="00E65630">
        <w:t xml:space="preserve">B </w:t>
      </w:r>
      <w:r>
        <w:t>applies</w:t>
      </w:r>
      <w:r w:rsidRPr="00E65630">
        <w:t>.</w:t>
      </w:r>
    </w:p>
    <w:p w14:paraId="64B3858C" w14:textId="77777777" w:rsidR="00F65F06" w:rsidRPr="00A10DE7" w:rsidRDefault="00F65F06" w:rsidP="00F65F06">
      <w:r>
        <w:t xml:space="preserve">For periods beginning after 10 June 2021 (the date of Royal Assent of the Finance Bill 2021), where the UK is either Country X or Country Y the dual territory double deduction amount of 150 will be not be denied in the UK as  an illegitimate overseas deduction because it is utilised only against the income of the the dual resident company.  Instead the use of the deduction will be restricted for off setting any dual inclusion income received in the period. For periods beginning before that date, the entire 150 will be regarded as an illegitimate overseas deduction and so should be denied entirely in the UK.  </w:t>
      </w:r>
    </w:p>
    <w:p w14:paraId="56174205" w14:textId="77777777" w:rsidR="00F65F06" w:rsidRPr="00A10DE7" w:rsidRDefault="00F65F06" w:rsidP="00F65F06">
      <w:r w:rsidRPr="00A10DE7">
        <w:t>If the UK is Country X, it is reasonable to suppose that the dual territory double deduction amount of 150 is in substance set against the income received by B Co in Country Y (which is treated in Country Y as the income of A Co 2), and that income is not dual inclusion income of A Co 2.</w:t>
      </w:r>
    </w:p>
    <w:p w14:paraId="554CA4D0" w14:textId="77777777" w:rsidR="00F65F06" w:rsidRPr="00A10DE7" w:rsidRDefault="00F65F06" w:rsidP="00F65F06">
      <w:r w:rsidRPr="00A10DE7">
        <w:t>If the UK is Country Y, it is reasonable to suppose that the dual territory double deduction amount of 150 is in substance set against the income of A Co 1 in Country X, and that the income of A Co 1 is not dual inclusion income of A Co 2.</w:t>
      </w:r>
    </w:p>
    <w:p w14:paraId="785BA816" w14:textId="77777777" w:rsidR="00F65F06" w:rsidRDefault="00F65F06" w:rsidP="00F65F06">
      <w:r w:rsidRPr="007429E6">
        <w:t>If the non-UK jurisdiction has also adopted a provision equivalent to s259JB TIOPA 2010</w:t>
      </w:r>
      <w:r>
        <w:t>,</w:t>
      </w:r>
      <w:r w:rsidRPr="007429E6">
        <w:t xml:space="preserve"> then </w:t>
      </w:r>
      <w:r>
        <w:t>that jurisdiction too</w:t>
      </w:r>
      <w:r w:rsidRPr="007429E6">
        <w:t xml:space="preserve"> may also deny the deduction for the interest payment (150).</w:t>
      </w:r>
      <w:r>
        <w:t xml:space="preserve"> </w:t>
      </w:r>
    </w:p>
    <w:p w14:paraId="6F4C3CBD" w14:textId="77777777" w:rsidR="00F65F06" w:rsidRPr="007429E6" w:rsidRDefault="00F65F06" w:rsidP="00F65F06"/>
    <w:p w14:paraId="5AC31C77" w14:textId="77777777" w:rsidR="00F65F06" w:rsidRDefault="00F65F06" w:rsidP="00F65F06">
      <w:bookmarkStart w:id="8" w:name="_INTM558000:_Hybrids:_Chapter_1"/>
      <w:bookmarkStart w:id="9" w:name="_INTM559000:_Hybrids:_Chapter"/>
      <w:bookmarkStart w:id="10" w:name="_Toc468807068"/>
      <w:bookmarkStart w:id="11" w:name="_Toc478036845"/>
      <w:bookmarkEnd w:id="8"/>
      <w:bookmarkEnd w:id="9"/>
      <w:r w:rsidRPr="007429E6">
        <w:t xml:space="preserve">The position following </w:t>
      </w:r>
      <w:r>
        <w:t>such a</w:t>
      </w:r>
      <w:r w:rsidRPr="007429E6">
        <w:t xml:space="preserve"> counteraction </w:t>
      </w:r>
      <w:r>
        <w:t xml:space="preserve">in both territories </w:t>
      </w:r>
      <w:r w:rsidRPr="007429E6">
        <w:t>is set out below:</w:t>
      </w:r>
    </w:p>
    <w:p w14:paraId="0A27DA2D" w14:textId="77777777" w:rsidR="00F65F06" w:rsidRPr="001D5020" w:rsidRDefault="00F65F06" w:rsidP="00F65F06">
      <w:pPr>
        <w:pStyle w:val="BodyText"/>
        <w:rPr>
          <w:b/>
          <w:bCs/>
        </w:rPr>
      </w:pPr>
      <w:r w:rsidRPr="001D5020">
        <w:rPr>
          <w:b/>
          <w:bCs/>
        </w:rPr>
        <w:t>Country A</w:t>
      </w:r>
      <w:r w:rsidRPr="001D5020">
        <w:rPr>
          <w:b/>
          <w:bCs/>
        </w:rPr>
        <w:tab/>
      </w:r>
      <w:r w:rsidRPr="001D5020">
        <w:rPr>
          <w:b/>
          <w:bCs/>
        </w:rPr>
        <w:tab/>
      </w:r>
      <w:r w:rsidRPr="001D5020">
        <w:rPr>
          <w:b/>
          <w:bCs/>
        </w:rPr>
        <w:tab/>
      </w:r>
      <w:r w:rsidRPr="001D5020">
        <w:rPr>
          <w:b/>
          <w:bCs/>
        </w:rPr>
        <w:tab/>
      </w:r>
      <w:r w:rsidRPr="001D5020">
        <w:rPr>
          <w:b/>
          <w:bCs/>
        </w:rPr>
        <w:tab/>
      </w:r>
      <w:r w:rsidRPr="001D5020">
        <w:rPr>
          <w:b/>
          <w:bCs/>
        </w:rPr>
        <w:tab/>
        <w:t>Country B</w:t>
      </w:r>
    </w:p>
    <w:p w14:paraId="35E994C4" w14:textId="77777777" w:rsidR="00F65F06" w:rsidRPr="001D5020" w:rsidRDefault="00F65F06" w:rsidP="00F65F06">
      <w:pPr>
        <w:pStyle w:val="BodyText"/>
        <w:rPr>
          <w:b/>
          <w:bCs/>
        </w:rPr>
      </w:pPr>
      <w:r w:rsidRPr="001D5020">
        <w:rPr>
          <w:b/>
          <w:bCs/>
        </w:rPr>
        <w:t>A Co 1 and A Co 2 combined</w:t>
      </w:r>
      <w:r w:rsidRPr="001D5020">
        <w:rPr>
          <w:b/>
          <w:bCs/>
        </w:rPr>
        <w:tab/>
      </w:r>
      <w:r w:rsidRPr="001D5020">
        <w:rPr>
          <w:b/>
          <w:bCs/>
        </w:rPr>
        <w:tab/>
      </w:r>
      <w:r w:rsidRPr="001D5020">
        <w:rPr>
          <w:b/>
          <w:bCs/>
        </w:rPr>
        <w:tab/>
        <w:t>A Co 2 and B Co combined</w:t>
      </w:r>
    </w:p>
    <w:tbl>
      <w:tblPr>
        <w:tblStyle w:val="TableGrid"/>
        <w:tblW w:w="9085" w:type="dxa"/>
        <w:tblLook w:val="04A0" w:firstRow="1" w:lastRow="0" w:firstColumn="1" w:lastColumn="0" w:noHBand="0" w:noVBand="1"/>
      </w:tblPr>
      <w:tblGrid>
        <w:gridCol w:w="2837"/>
        <w:gridCol w:w="749"/>
        <w:gridCol w:w="1110"/>
        <w:gridCol w:w="2853"/>
        <w:gridCol w:w="772"/>
        <w:gridCol w:w="764"/>
      </w:tblGrid>
      <w:tr w:rsidR="00F65F06" w:rsidRPr="00E65630" w14:paraId="3656AF0A" w14:textId="77777777" w:rsidTr="0054295F">
        <w:trPr>
          <w:trHeight w:val="263"/>
        </w:trPr>
        <w:tc>
          <w:tcPr>
            <w:tcW w:w="2837" w:type="dxa"/>
            <w:noWrap/>
            <w:hideMark/>
          </w:tcPr>
          <w:p w14:paraId="5CFCE151" w14:textId="77777777" w:rsidR="00F65F06" w:rsidRPr="00CE0C66" w:rsidRDefault="00F65F06" w:rsidP="0054295F">
            <w:r w:rsidRPr="007429E6">
              <w:lastRenderedPageBreak/>
              <w:t> </w:t>
            </w:r>
          </w:p>
          <w:p w14:paraId="6C5CD084" w14:textId="77777777" w:rsidR="00F65F06" w:rsidRPr="00CE0C66" w:rsidRDefault="00F65F06" w:rsidP="0054295F">
            <w:r w:rsidRPr="007429E6">
              <w:t> </w:t>
            </w:r>
          </w:p>
          <w:p w14:paraId="3FB84DF7" w14:textId="77777777" w:rsidR="00F65F06" w:rsidRPr="00CE0C66" w:rsidRDefault="00F65F06" w:rsidP="0054295F">
            <w:r w:rsidRPr="007429E6">
              <w:t> </w:t>
            </w:r>
          </w:p>
          <w:p w14:paraId="1C93D9DE" w14:textId="77777777" w:rsidR="00F65F06" w:rsidRPr="00CE0C66" w:rsidRDefault="00F65F06" w:rsidP="0054295F">
            <w:r w:rsidRPr="007429E6">
              <w:t> </w:t>
            </w:r>
          </w:p>
        </w:tc>
        <w:tc>
          <w:tcPr>
            <w:tcW w:w="749" w:type="dxa"/>
            <w:noWrap/>
            <w:hideMark/>
          </w:tcPr>
          <w:p w14:paraId="6F19EB05" w14:textId="77777777" w:rsidR="00F65F06" w:rsidRPr="00CE0C66" w:rsidRDefault="00F65F06" w:rsidP="0054295F">
            <w:r w:rsidRPr="007429E6">
              <w:t>Tax</w:t>
            </w:r>
          </w:p>
        </w:tc>
        <w:tc>
          <w:tcPr>
            <w:tcW w:w="1110" w:type="dxa"/>
            <w:noWrap/>
            <w:hideMark/>
          </w:tcPr>
          <w:p w14:paraId="505A02B2" w14:textId="77777777" w:rsidR="00F65F06" w:rsidRPr="00CE0C66" w:rsidRDefault="00F65F06" w:rsidP="0054295F">
            <w:r w:rsidRPr="007429E6">
              <w:t>Book</w:t>
            </w:r>
          </w:p>
        </w:tc>
        <w:tc>
          <w:tcPr>
            <w:tcW w:w="2853" w:type="dxa"/>
            <w:noWrap/>
            <w:hideMark/>
          </w:tcPr>
          <w:p w14:paraId="28264573" w14:textId="77777777" w:rsidR="00F65F06" w:rsidRPr="00CE0C66" w:rsidRDefault="00F65F06" w:rsidP="0054295F">
            <w:r w:rsidRPr="007429E6">
              <w:t> </w:t>
            </w:r>
          </w:p>
          <w:p w14:paraId="5F431DFF" w14:textId="77777777" w:rsidR="00F65F06" w:rsidRPr="00CE0C66" w:rsidRDefault="00F65F06" w:rsidP="0054295F">
            <w:r w:rsidRPr="007429E6">
              <w:t> </w:t>
            </w:r>
          </w:p>
          <w:p w14:paraId="2CE2BBF2" w14:textId="77777777" w:rsidR="00F65F06" w:rsidRPr="00CE0C66" w:rsidRDefault="00F65F06" w:rsidP="0054295F">
            <w:r w:rsidRPr="007429E6">
              <w:t> </w:t>
            </w:r>
          </w:p>
          <w:p w14:paraId="1150F381" w14:textId="77777777" w:rsidR="00F65F06" w:rsidRPr="00CE0C66" w:rsidRDefault="00F65F06" w:rsidP="0054295F">
            <w:r w:rsidRPr="007429E6">
              <w:t> </w:t>
            </w:r>
          </w:p>
        </w:tc>
        <w:tc>
          <w:tcPr>
            <w:tcW w:w="772" w:type="dxa"/>
            <w:noWrap/>
            <w:hideMark/>
          </w:tcPr>
          <w:p w14:paraId="699A655E" w14:textId="77777777" w:rsidR="00F65F06" w:rsidRPr="00CE0C66" w:rsidRDefault="00F65F06" w:rsidP="0054295F">
            <w:r w:rsidRPr="007429E6">
              <w:t>Tax</w:t>
            </w:r>
          </w:p>
        </w:tc>
        <w:tc>
          <w:tcPr>
            <w:tcW w:w="764" w:type="dxa"/>
            <w:noWrap/>
            <w:hideMark/>
          </w:tcPr>
          <w:p w14:paraId="632FA841" w14:textId="77777777" w:rsidR="00F65F06" w:rsidRPr="00CE0C66" w:rsidRDefault="00F65F06" w:rsidP="0054295F">
            <w:r w:rsidRPr="007429E6">
              <w:t>Book</w:t>
            </w:r>
          </w:p>
        </w:tc>
      </w:tr>
      <w:tr w:rsidR="00F65F06" w:rsidRPr="00E65630" w14:paraId="54FC8E00" w14:textId="77777777" w:rsidTr="0054295F">
        <w:trPr>
          <w:trHeight w:val="263"/>
        </w:trPr>
        <w:tc>
          <w:tcPr>
            <w:tcW w:w="2837" w:type="dxa"/>
            <w:noWrap/>
            <w:hideMark/>
          </w:tcPr>
          <w:p w14:paraId="3685DBEA" w14:textId="77777777" w:rsidR="00F65F06" w:rsidRPr="007429E6" w:rsidRDefault="00F65F06" w:rsidP="0054295F">
            <w:r w:rsidRPr="007429E6">
              <w:t>Income</w:t>
            </w:r>
          </w:p>
        </w:tc>
        <w:tc>
          <w:tcPr>
            <w:tcW w:w="749" w:type="dxa"/>
            <w:noWrap/>
            <w:hideMark/>
          </w:tcPr>
          <w:p w14:paraId="48526C36" w14:textId="77777777" w:rsidR="00F65F06" w:rsidRPr="007429E6" w:rsidRDefault="00F65F06" w:rsidP="0054295F"/>
        </w:tc>
        <w:tc>
          <w:tcPr>
            <w:tcW w:w="1110" w:type="dxa"/>
            <w:noWrap/>
            <w:hideMark/>
          </w:tcPr>
          <w:p w14:paraId="1D0E230B" w14:textId="77777777" w:rsidR="00F65F06" w:rsidRPr="00CE0C66" w:rsidRDefault="00F65F06" w:rsidP="0054295F">
            <w:r w:rsidRPr="007429E6">
              <w:t> </w:t>
            </w:r>
          </w:p>
        </w:tc>
        <w:tc>
          <w:tcPr>
            <w:tcW w:w="2853" w:type="dxa"/>
            <w:noWrap/>
            <w:hideMark/>
          </w:tcPr>
          <w:p w14:paraId="42632527" w14:textId="77777777" w:rsidR="00F65F06" w:rsidRPr="007429E6" w:rsidRDefault="00F65F06" w:rsidP="0054295F">
            <w:r w:rsidRPr="007429E6">
              <w:t>Income</w:t>
            </w:r>
          </w:p>
        </w:tc>
        <w:tc>
          <w:tcPr>
            <w:tcW w:w="772" w:type="dxa"/>
            <w:noWrap/>
            <w:hideMark/>
          </w:tcPr>
          <w:p w14:paraId="70951FEF" w14:textId="77777777" w:rsidR="00F65F06" w:rsidRPr="007429E6" w:rsidRDefault="00F65F06" w:rsidP="0054295F"/>
        </w:tc>
        <w:tc>
          <w:tcPr>
            <w:tcW w:w="764" w:type="dxa"/>
            <w:noWrap/>
            <w:hideMark/>
          </w:tcPr>
          <w:p w14:paraId="23F6FAB4" w14:textId="77777777" w:rsidR="00F65F06" w:rsidRPr="00CE0C66" w:rsidRDefault="00F65F06" w:rsidP="0054295F">
            <w:r w:rsidRPr="007429E6">
              <w:t> </w:t>
            </w:r>
          </w:p>
        </w:tc>
      </w:tr>
      <w:tr w:rsidR="00F65F06" w:rsidRPr="00E65630" w14:paraId="7F1E7165" w14:textId="77777777" w:rsidTr="0054295F">
        <w:trPr>
          <w:trHeight w:val="263"/>
        </w:trPr>
        <w:tc>
          <w:tcPr>
            <w:tcW w:w="2837" w:type="dxa"/>
            <w:noWrap/>
            <w:hideMark/>
          </w:tcPr>
          <w:p w14:paraId="77E08232" w14:textId="77777777" w:rsidR="00F65F06" w:rsidRPr="007429E6" w:rsidRDefault="00F65F06" w:rsidP="0054295F">
            <w:r w:rsidRPr="007429E6">
              <w:t>Operating income of A Co 1</w:t>
            </w:r>
          </w:p>
        </w:tc>
        <w:tc>
          <w:tcPr>
            <w:tcW w:w="749" w:type="dxa"/>
            <w:noWrap/>
            <w:hideMark/>
          </w:tcPr>
          <w:p w14:paraId="7AEF9D17" w14:textId="77777777" w:rsidR="00F65F06" w:rsidRPr="00CE0C66" w:rsidRDefault="00F65F06" w:rsidP="0054295F">
            <w:r w:rsidRPr="007429E6">
              <w:t>300</w:t>
            </w:r>
          </w:p>
        </w:tc>
        <w:tc>
          <w:tcPr>
            <w:tcW w:w="1110" w:type="dxa"/>
            <w:noWrap/>
            <w:hideMark/>
          </w:tcPr>
          <w:p w14:paraId="556A6EF8" w14:textId="77777777" w:rsidR="00F65F06" w:rsidRPr="00CE0C66" w:rsidRDefault="00F65F06" w:rsidP="0054295F">
            <w:r w:rsidRPr="007429E6">
              <w:t>300</w:t>
            </w:r>
          </w:p>
        </w:tc>
        <w:tc>
          <w:tcPr>
            <w:tcW w:w="2853" w:type="dxa"/>
            <w:noWrap/>
            <w:hideMark/>
          </w:tcPr>
          <w:p w14:paraId="6F30046C" w14:textId="77777777" w:rsidR="00F65F06" w:rsidRPr="007429E6" w:rsidRDefault="00F65F06" w:rsidP="0054295F">
            <w:r w:rsidRPr="007429E6">
              <w:t>Operating income of B Co</w:t>
            </w:r>
          </w:p>
        </w:tc>
        <w:tc>
          <w:tcPr>
            <w:tcW w:w="772" w:type="dxa"/>
            <w:noWrap/>
            <w:hideMark/>
          </w:tcPr>
          <w:p w14:paraId="20268565" w14:textId="77777777" w:rsidR="00F65F06" w:rsidRPr="00CE0C66" w:rsidRDefault="00F65F06" w:rsidP="0054295F">
            <w:r w:rsidRPr="007429E6">
              <w:t>350</w:t>
            </w:r>
          </w:p>
        </w:tc>
        <w:tc>
          <w:tcPr>
            <w:tcW w:w="764" w:type="dxa"/>
            <w:noWrap/>
            <w:hideMark/>
          </w:tcPr>
          <w:p w14:paraId="00D82560" w14:textId="77777777" w:rsidR="00F65F06" w:rsidRPr="00CE0C66" w:rsidRDefault="00F65F06" w:rsidP="0054295F">
            <w:r w:rsidRPr="007429E6">
              <w:t>350</w:t>
            </w:r>
          </w:p>
        </w:tc>
      </w:tr>
      <w:tr w:rsidR="00F65F06" w:rsidRPr="00E65630" w14:paraId="372FA5E5" w14:textId="77777777" w:rsidTr="0054295F">
        <w:trPr>
          <w:trHeight w:val="263"/>
        </w:trPr>
        <w:tc>
          <w:tcPr>
            <w:tcW w:w="2837" w:type="dxa"/>
            <w:noWrap/>
            <w:hideMark/>
          </w:tcPr>
          <w:p w14:paraId="4DF11F43" w14:textId="77777777" w:rsidR="00F65F06" w:rsidRPr="007429E6" w:rsidRDefault="00F65F06" w:rsidP="0054295F">
            <w:r w:rsidRPr="007429E6">
              <w:t>Adjustment</w:t>
            </w:r>
          </w:p>
        </w:tc>
        <w:tc>
          <w:tcPr>
            <w:tcW w:w="749" w:type="dxa"/>
            <w:noWrap/>
            <w:hideMark/>
          </w:tcPr>
          <w:p w14:paraId="36491E30" w14:textId="77777777" w:rsidR="00F65F06" w:rsidRPr="00CE0C66" w:rsidRDefault="00F65F06" w:rsidP="0054295F">
            <w:r w:rsidRPr="007429E6">
              <w:t>150</w:t>
            </w:r>
          </w:p>
        </w:tc>
        <w:tc>
          <w:tcPr>
            <w:tcW w:w="1110" w:type="dxa"/>
            <w:noWrap/>
            <w:hideMark/>
          </w:tcPr>
          <w:p w14:paraId="2E17F0E7" w14:textId="77777777" w:rsidR="00F65F06" w:rsidRPr="00CE0C66" w:rsidRDefault="00F65F06" w:rsidP="0054295F">
            <w:r w:rsidRPr="007429E6">
              <w:t> </w:t>
            </w:r>
          </w:p>
        </w:tc>
        <w:tc>
          <w:tcPr>
            <w:tcW w:w="2853" w:type="dxa"/>
            <w:noWrap/>
            <w:hideMark/>
          </w:tcPr>
          <w:p w14:paraId="6781A31C" w14:textId="77777777" w:rsidR="00F65F06" w:rsidRPr="007429E6" w:rsidRDefault="00F65F06" w:rsidP="0054295F">
            <w:r w:rsidRPr="007429E6">
              <w:t>Adjustment</w:t>
            </w:r>
          </w:p>
        </w:tc>
        <w:tc>
          <w:tcPr>
            <w:tcW w:w="772" w:type="dxa"/>
            <w:noWrap/>
            <w:hideMark/>
          </w:tcPr>
          <w:p w14:paraId="735B572A" w14:textId="77777777" w:rsidR="00F65F06" w:rsidRPr="00CE0C66" w:rsidRDefault="00F65F06" w:rsidP="0054295F">
            <w:r w:rsidRPr="007429E6">
              <w:t>150</w:t>
            </w:r>
          </w:p>
        </w:tc>
        <w:tc>
          <w:tcPr>
            <w:tcW w:w="764" w:type="dxa"/>
            <w:noWrap/>
            <w:hideMark/>
          </w:tcPr>
          <w:p w14:paraId="122BD8FA" w14:textId="77777777" w:rsidR="00F65F06" w:rsidRPr="00CE0C66" w:rsidRDefault="00F65F06" w:rsidP="0054295F">
            <w:r w:rsidRPr="007429E6">
              <w:t> </w:t>
            </w:r>
          </w:p>
        </w:tc>
      </w:tr>
      <w:tr w:rsidR="00F65F06" w:rsidRPr="00E65630" w14:paraId="78DE5DF2" w14:textId="77777777" w:rsidTr="0054295F">
        <w:trPr>
          <w:trHeight w:val="263"/>
        </w:trPr>
        <w:tc>
          <w:tcPr>
            <w:tcW w:w="2837" w:type="dxa"/>
            <w:noWrap/>
            <w:hideMark/>
          </w:tcPr>
          <w:p w14:paraId="39FC0913" w14:textId="77777777" w:rsidR="00F65F06" w:rsidRPr="007429E6" w:rsidRDefault="00F65F06" w:rsidP="0054295F">
            <w:r w:rsidRPr="007429E6">
              <w:t> </w:t>
            </w:r>
          </w:p>
        </w:tc>
        <w:tc>
          <w:tcPr>
            <w:tcW w:w="749" w:type="dxa"/>
            <w:noWrap/>
            <w:hideMark/>
          </w:tcPr>
          <w:p w14:paraId="14F4F14D" w14:textId="77777777" w:rsidR="00F65F06" w:rsidRPr="007429E6" w:rsidRDefault="00F65F06" w:rsidP="0054295F"/>
        </w:tc>
        <w:tc>
          <w:tcPr>
            <w:tcW w:w="1110" w:type="dxa"/>
            <w:noWrap/>
            <w:hideMark/>
          </w:tcPr>
          <w:p w14:paraId="13D9D0D2" w14:textId="77777777" w:rsidR="00F65F06" w:rsidRPr="00CE0C66" w:rsidRDefault="00F65F06" w:rsidP="0054295F">
            <w:r w:rsidRPr="007429E6">
              <w:t> </w:t>
            </w:r>
          </w:p>
        </w:tc>
        <w:tc>
          <w:tcPr>
            <w:tcW w:w="2853" w:type="dxa"/>
            <w:noWrap/>
            <w:hideMark/>
          </w:tcPr>
          <w:p w14:paraId="262CC475" w14:textId="77777777" w:rsidR="00F65F06" w:rsidRPr="007429E6" w:rsidRDefault="00F65F06" w:rsidP="0054295F">
            <w:r w:rsidRPr="007429E6">
              <w:t> </w:t>
            </w:r>
          </w:p>
        </w:tc>
        <w:tc>
          <w:tcPr>
            <w:tcW w:w="772" w:type="dxa"/>
            <w:noWrap/>
            <w:hideMark/>
          </w:tcPr>
          <w:p w14:paraId="1E7990E0" w14:textId="77777777" w:rsidR="00F65F06" w:rsidRPr="007429E6" w:rsidRDefault="00F65F06" w:rsidP="0054295F"/>
        </w:tc>
        <w:tc>
          <w:tcPr>
            <w:tcW w:w="764" w:type="dxa"/>
            <w:noWrap/>
            <w:hideMark/>
          </w:tcPr>
          <w:p w14:paraId="38B7A915" w14:textId="77777777" w:rsidR="00F65F06" w:rsidRPr="00CE0C66" w:rsidRDefault="00F65F06" w:rsidP="0054295F">
            <w:r w:rsidRPr="007429E6">
              <w:t> </w:t>
            </w:r>
          </w:p>
        </w:tc>
      </w:tr>
      <w:tr w:rsidR="00F65F06" w:rsidRPr="00E65630" w14:paraId="1F41FD50" w14:textId="77777777" w:rsidTr="0054295F">
        <w:trPr>
          <w:trHeight w:val="263"/>
        </w:trPr>
        <w:tc>
          <w:tcPr>
            <w:tcW w:w="2837" w:type="dxa"/>
            <w:noWrap/>
            <w:hideMark/>
          </w:tcPr>
          <w:p w14:paraId="05C70C85" w14:textId="77777777" w:rsidR="00F65F06" w:rsidRPr="007429E6" w:rsidRDefault="00F65F06" w:rsidP="0054295F">
            <w:r w:rsidRPr="007429E6">
              <w:t>Expenditure</w:t>
            </w:r>
          </w:p>
        </w:tc>
        <w:tc>
          <w:tcPr>
            <w:tcW w:w="749" w:type="dxa"/>
          </w:tcPr>
          <w:p w14:paraId="40380AAE" w14:textId="77777777" w:rsidR="00F65F06" w:rsidRPr="007429E6" w:rsidRDefault="00F65F06" w:rsidP="0054295F"/>
        </w:tc>
        <w:tc>
          <w:tcPr>
            <w:tcW w:w="1110" w:type="dxa"/>
            <w:noWrap/>
            <w:hideMark/>
          </w:tcPr>
          <w:p w14:paraId="40FE902D" w14:textId="77777777" w:rsidR="00F65F06" w:rsidRPr="00CE0C66" w:rsidRDefault="00F65F06" w:rsidP="0054295F">
            <w:r w:rsidRPr="007429E6">
              <w:t> </w:t>
            </w:r>
          </w:p>
        </w:tc>
        <w:tc>
          <w:tcPr>
            <w:tcW w:w="2853" w:type="dxa"/>
            <w:noWrap/>
            <w:hideMark/>
          </w:tcPr>
          <w:p w14:paraId="00EDD575" w14:textId="77777777" w:rsidR="00F65F06" w:rsidRPr="007429E6" w:rsidRDefault="00F65F06" w:rsidP="0054295F">
            <w:r w:rsidRPr="007429E6">
              <w:t>Expenditure</w:t>
            </w:r>
          </w:p>
        </w:tc>
        <w:tc>
          <w:tcPr>
            <w:tcW w:w="772" w:type="dxa"/>
            <w:noWrap/>
            <w:hideMark/>
          </w:tcPr>
          <w:p w14:paraId="3F22AB71" w14:textId="77777777" w:rsidR="00F65F06" w:rsidRPr="007429E6" w:rsidRDefault="00F65F06" w:rsidP="0054295F"/>
        </w:tc>
        <w:tc>
          <w:tcPr>
            <w:tcW w:w="764" w:type="dxa"/>
            <w:noWrap/>
            <w:hideMark/>
          </w:tcPr>
          <w:p w14:paraId="3017E1E6" w14:textId="77777777" w:rsidR="00F65F06" w:rsidRPr="00CE0C66" w:rsidRDefault="00F65F06" w:rsidP="0054295F">
            <w:r w:rsidRPr="007429E6">
              <w:t> </w:t>
            </w:r>
          </w:p>
        </w:tc>
      </w:tr>
      <w:tr w:rsidR="00F65F06" w:rsidRPr="00E65630" w14:paraId="52568439" w14:textId="77777777" w:rsidTr="0054295F">
        <w:trPr>
          <w:trHeight w:val="263"/>
        </w:trPr>
        <w:tc>
          <w:tcPr>
            <w:tcW w:w="2837" w:type="dxa"/>
            <w:noWrap/>
            <w:hideMark/>
          </w:tcPr>
          <w:p w14:paraId="419FA7DA" w14:textId="77777777" w:rsidR="00F65F06" w:rsidRPr="007429E6" w:rsidRDefault="00F65F06" w:rsidP="0054295F">
            <w:r w:rsidRPr="007429E6">
              <w:t>Interest Paid by A Co 2 to bank</w:t>
            </w:r>
          </w:p>
        </w:tc>
        <w:tc>
          <w:tcPr>
            <w:tcW w:w="749" w:type="dxa"/>
            <w:noWrap/>
            <w:hideMark/>
          </w:tcPr>
          <w:p w14:paraId="24F71C1B" w14:textId="77777777" w:rsidR="00F65F06" w:rsidRPr="00CE0C66" w:rsidRDefault="00F65F06" w:rsidP="0054295F">
            <w:r w:rsidRPr="007429E6">
              <w:t>-150</w:t>
            </w:r>
          </w:p>
        </w:tc>
        <w:tc>
          <w:tcPr>
            <w:tcW w:w="1110" w:type="dxa"/>
            <w:noWrap/>
            <w:hideMark/>
          </w:tcPr>
          <w:p w14:paraId="36FDFD58" w14:textId="77777777" w:rsidR="00F65F06" w:rsidRPr="00CE0C66" w:rsidRDefault="00F65F06" w:rsidP="0054295F">
            <w:r w:rsidRPr="007429E6">
              <w:t> </w:t>
            </w:r>
          </w:p>
        </w:tc>
        <w:tc>
          <w:tcPr>
            <w:tcW w:w="2853" w:type="dxa"/>
            <w:noWrap/>
            <w:hideMark/>
          </w:tcPr>
          <w:p w14:paraId="48ECE206" w14:textId="77777777" w:rsidR="00F65F06" w:rsidRPr="007429E6" w:rsidRDefault="00F65F06" w:rsidP="0054295F">
            <w:r w:rsidRPr="007429E6">
              <w:t>Interest Paid by A Co 2 to bank</w:t>
            </w:r>
          </w:p>
        </w:tc>
        <w:tc>
          <w:tcPr>
            <w:tcW w:w="772" w:type="dxa"/>
            <w:noWrap/>
            <w:hideMark/>
          </w:tcPr>
          <w:p w14:paraId="42A7DDD7" w14:textId="77777777" w:rsidR="00F65F06" w:rsidRPr="00CE0C66" w:rsidRDefault="00F65F06" w:rsidP="0054295F">
            <w:r w:rsidRPr="007429E6">
              <w:t>-150</w:t>
            </w:r>
          </w:p>
        </w:tc>
        <w:tc>
          <w:tcPr>
            <w:tcW w:w="764" w:type="dxa"/>
            <w:noWrap/>
            <w:hideMark/>
          </w:tcPr>
          <w:p w14:paraId="3CF65CE5" w14:textId="77777777" w:rsidR="00F65F06" w:rsidRPr="00CE0C66" w:rsidRDefault="00F65F06" w:rsidP="0054295F">
            <w:r w:rsidRPr="007429E6">
              <w:t>-150</w:t>
            </w:r>
          </w:p>
        </w:tc>
      </w:tr>
      <w:tr w:rsidR="00F65F06" w:rsidRPr="00E65630" w14:paraId="07477D5E" w14:textId="77777777" w:rsidTr="0054295F">
        <w:trPr>
          <w:trHeight w:val="263"/>
        </w:trPr>
        <w:tc>
          <w:tcPr>
            <w:tcW w:w="2837" w:type="dxa"/>
            <w:noWrap/>
            <w:hideMark/>
          </w:tcPr>
          <w:p w14:paraId="5C1B600A" w14:textId="77777777" w:rsidR="00F65F06" w:rsidRPr="007429E6" w:rsidRDefault="00F65F06" w:rsidP="0054295F">
            <w:r w:rsidRPr="007429E6">
              <w:t> </w:t>
            </w:r>
          </w:p>
        </w:tc>
        <w:tc>
          <w:tcPr>
            <w:tcW w:w="749" w:type="dxa"/>
            <w:noWrap/>
            <w:hideMark/>
          </w:tcPr>
          <w:p w14:paraId="2140379A" w14:textId="77777777" w:rsidR="00F65F06" w:rsidRPr="007429E6" w:rsidRDefault="00F65F06" w:rsidP="0054295F"/>
        </w:tc>
        <w:tc>
          <w:tcPr>
            <w:tcW w:w="1110" w:type="dxa"/>
            <w:noWrap/>
            <w:hideMark/>
          </w:tcPr>
          <w:p w14:paraId="37A1CBDD" w14:textId="77777777" w:rsidR="00F65F06" w:rsidRPr="00CE0C66" w:rsidRDefault="00F65F06" w:rsidP="0054295F">
            <w:r w:rsidRPr="007429E6">
              <w:t> </w:t>
            </w:r>
          </w:p>
        </w:tc>
        <w:tc>
          <w:tcPr>
            <w:tcW w:w="2853" w:type="dxa"/>
            <w:noWrap/>
            <w:hideMark/>
          </w:tcPr>
          <w:p w14:paraId="5516AA9C" w14:textId="77777777" w:rsidR="00F65F06" w:rsidRPr="007429E6" w:rsidRDefault="00F65F06" w:rsidP="0054295F">
            <w:r w:rsidRPr="007429E6">
              <w:t> </w:t>
            </w:r>
          </w:p>
        </w:tc>
        <w:tc>
          <w:tcPr>
            <w:tcW w:w="772" w:type="dxa"/>
            <w:noWrap/>
            <w:hideMark/>
          </w:tcPr>
          <w:p w14:paraId="619C0DE4" w14:textId="77777777" w:rsidR="00F65F06" w:rsidRPr="007429E6" w:rsidRDefault="00F65F06" w:rsidP="0054295F"/>
        </w:tc>
        <w:tc>
          <w:tcPr>
            <w:tcW w:w="764" w:type="dxa"/>
            <w:noWrap/>
            <w:hideMark/>
          </w:tcPr>
          <w:p w14:paraId="3ACDE142" w14:textId="77777777" w:rsidR="00F65F06" w:rsidRPr="00CE0C66" w:rsidRDefault="00F65F06" w:rsidP="0054295F">
            <w:r w:rsidRPr="007429E6">
              <w:t> </w:t>
            </w:r>
          </w:p>
        </w:tc>
      </w:tr>
      <w:tr w:rsidR="00F65F06" w:rsidRPr="00E65630" w14:paraId="5B48B6EF" w14:textId="77777777" w:rsidTr="0054295F">
        <w:trPr>
          <w:trHeight w:val="263"/>
        </w:trPr>
        <w:tc>
          <w:tcPr>
            <w:tcW w:w="2837" w:type="dxa"/>
            <w:noWrap/>
            <w:hideMark/>
          </w:tcPr>
          <w:p w14:paraId="5CA13133" w14:textId="77777777" w:rsidR="00F65F06" w:rsidRPr="007429E6" w:rsidRDefault="00F65F06" w:rsidP="0054295F">
            <w:r w:rsidRPr="007429E6">
              <w:t>Net profit</w:t>
            </w:r>
          </w:p>
        </w:tc>
        <w:tc>
          <w:tcPr>
            <w:tcW w:w="749" w:type="dxa"/>
            <w:noWrap/>
            <w:hideMark/>
          </w:tcPr>
          <w:p w14:paraId="2EE95841" w14:textId="77777777" w:rsidR="00F65F06" w:rsidRPr="007429E6" w:rsidRDefault="00F65F06" w:rsidP="0054295F"/>
        </w:tc>
        <w:tc>
          <w:tcPr>
            <w:tcW w:w="1110" w:type="dxa"/>
            <w:noWrap/>
            <w:hideMark/>
          </w:tcPr>
          <w:p w14:paraId="48EB9093" w14:textId="77777777" w:rsidR="00F65F06" w:rsidRPr="00CE0C66" w:rsidRDefault="00F65F06" w:rsidP="0054295F">
            <w:r w:rsidRPr="007429E6">
              <w:t>300</w:t>
            </w:r>
          </w:p>
        </w:tc>
        <w:tc>
          <w:tcPr>
            <w:tcW w:w="2853" w:type="dxa"/>
            <w:noWrap/>
            <w:hideMark/>
          </w:tcPr>
          <w:p w14:paraId="101644E0" w14:textId="77777777" w:rsidR="00F65F06" w:rsidRPr="007429E6" w:rsidRDefault="00F65F06" w:rsidP="0054295F">
            <w:r w:rsidRPr="007429E6">
              <w:t>Net profit</w:t>
            </w:r>
          </w:p>
        </w:tc>
        <w:tc>
          <w:tcPr>
            <w:tcW w:w="772" w:type="dxa"/>
            <w:noWrap/>
            <w:hideMark/>
          </w:tcPr>
          <w:p w14:paraId="415D0750" w14:textId="77777777" w:rsidR="00F65F06" w:rsidRPr="007429E6" w:rsidRDefault="00F65F06" w:rsidP="0054295F"/>
        </w:tc>
        <w:tc>
          <w:tcPr>
            <w:tcW w:w="764" w:type="dxa"/>
            <w:noWrap/>
            <w:hideMark/>
          </w:tcPr>
          <w:p w14:paraId="28EE5BE9" w14:textId="77777777" w:rsidR="00F65F06" w:rsidRPr="00CE0C66" w:rsidRDefault="00F65F06" w:rsidP="0054295F">
            <w:r w:rsidRPr="007429E6">
              <w:t>200</w:t>
            </w:r>
          </w:p>
        </w:tc>
      </w:tr>
      <w:tr w:rsidR="00F65F06" w:rsidRPr="00E65630" w14:paraId="33D86EE0" w14:textId="77777777" w:rsidTr="0054295F">
        <w:trPr>
          <w:trHeight w:val="263"/>
        </w:trPr>
        <w:tc>
          <w:tcPr>
            <w:tcW w:w="2837" w:type="dxa"/>
            <w:noWrap/>
            <w:hideMark/>
          </w:tcPr>
          <w:p w14:paraId="0F9EDEFF" w14:textId="77777777" w:rsidR="00F65F06" w:rsidRPr="00CE0C66" w:rsidRDefault="00F65F06" w:rsidP="0054295F">
            <w:r w:rsidRPr="007429E6">
              <w:t>Taxable profit</w:t>
            </w:r>
          </w:p>
        </w:tc>
        <w:tc>
          <w:tcPr>
            <w:tcW w:w="749" w:type="dxa"/>
            <w:noWrap/>
            <w:hideMark/>
          </w:tcPr>
          <w:p w14:paraId="5CDD8CE4" w14:textId="77777777" w:rsidR="00F65F06" w:rsidRPr="00CE0C66" w:rsidRDefault="00F65F06" w:rsidP="0054295F">
            <w:r w:rsidRPr="007429E6">
              <w:t>300</w:t>
            </w:r>
          </w:p>
        </w:tc>
        <w:tc>
          <w:tcPr>
            <w:tcW w:w="1110" w:type="dxa"/>
            <w:noWrap/>
            <w:hideMark/>
          </w:tcPr>
          <w:p w14:paraId="3A72DFC5" w14:textId="77777777" w:rsidR="00F65F06" w:rsidRPr="00CE0C66" w:rsidRDefault="00F65F06" w:rsidP="0054295F">
            <w:r w:rsidRPr="007429E6">
              <w:t> </w:t>
            </w:r>
          </w:p>
        </w:tc>
        <w:tc>
          <w:tcPr>
            <w:tcW w:w="2853" w:type="dxa"/>
            <w:noWrap/>
            <w:hideMark/>
          </w:tcPr>
          <w:p w14:paraId="63FF5358" w14:textId="77777777" w:rsidR="00F65F06" w:rsidRPr="00CE0C66" w:rsidRDefault="00F65F06" w:rsidP="0054295F">
            <w:r w:rsidRPr="007429E6">
              <w:t>Taxable profit</w:t>
            </w:r>
          </w:p>
        </w:tc>
        <w:tc>
          <w:tcPr>
            <w:tcW w:w="772" w:type="dxa"/>
            <w:noWrap/>
            <w:hideMark/>
          </w:tcPr>
          <w:p w14:paraId="552D3B72" w14:textId="77777777" w:rsidR="00F65F06" w:rsidRPr="00CE0C66" w:rsidRDefault="00F65F06" w:rsidP="0054295F">
            <w:r w:rsidRPr="007429E6">
              <w:t>350</w:t>
            </w:r>
          </w:p>
        </w:tc>
        <w:tc>
          <w:tcPr>
            <w:tcW w:w="764" w:type="dxa"/>
            <w:noWrap/>
            <w:hideMark/>
          </w:tcPr>
          <w:p w14:paraId="434E7482" w14:textId="77777777" w:rsidR="00F65F06" w:rsidRPr="00CE0C66" w:rsidRDefault="00F65F06" w:rsidP="0054295F">
            <w:r w:rsidRPr="007429E6">
              <w:t> </w:t>
            </w:r>
          </w:p>
        </w:tc>
      </w:tr>
    </w:tbl>
    <w:p w14:paraId="11226470" w14:textId="77777777" w:rsidR="00F65F06" w:rsidRPr="007429E6" w:rsidRDefault="00F65F06" w:rsidP="00F65F06"/>
    <w:p w14:paraId="6F73E717" w14:textId="77777777" w:rsidR="00F65F06" w:rsidRDefault="00F65F06" w:rsidP="00F65F06">
      <w:pPr>
        <w:pStyle w:val="BodyText"/>
      </w:pPr>
      <w:r>
        <w:t>The net effect under the counteraction is that the AB group realises 500 of net profit, but its taxable profit has increased to 650. The 150 excess taxable income is a result of both countries applying the same rule and both restricting the use of  the dual territory double deduction amount, thus resulting in some double taxation. The AB group will need to engage with the tax administrations of Country X and Country Y to see if they can resolve this situation, for example through the mutual agreement procedure.</w:t>
      </w:r>
    </w:p>
    <w:p w14:paraId="4C75455B" w14:textId="77777777" w:rsidR="00F65F06" w:rsidRDefault="00F65F06" w:rsidP="00F65F06">
      <w:pPr>
        <w:spacing w:after="160" w:line="259" w:lineRule="auto"/>
      </w:pPr>
    </w:p>
    <w:bookmarkStart w:id="12" w:name="_Hlk90048850"/>
    <w:bookmarkStart w:id="13" w:name="_Hlk90049141"/>
    <w:bookmarkEnd w:id="10"/>
    <w:bookmarkEnd w:id="11"/>
    <w:p w14:paraId="5E142856" w14:textId="77777777" w:rsidR="002C6FAC" w:rsidRDefault="002C6FAC" w:rsidP="002C6FAC">
      <w:r>
        <w:fldChar w:fldCharType="begin"/>
      </w:r>
      <w:r>
        <w:instrText>HYPERLINK "https://www.gov.uk/hmrc-internal-manuals/international-manual/intm550000"</w:instrText>
      </w:r>
      <w:r>
        <w:fldChar w:fldCharType="separate"/>
      </w:r>
      <w:r>
        <w:rPr>
          <w:rStyle w:val="Hyperlink"/>
        </w:rPr>
        <w:t>Return to contents</w:t>
      </w:r>
      <w:r>
        <w:fldChar w:fldCharType="end"/>
      </w:r>
      <w:bookmarkEnd w:id="12"/>
      <w:r>
        <w:t xml:space="preserve"> </w:t>
      </w:r>
      <w:bookmarkEnd w:id="13"/>
    </w:p>
    <w:p w14:paraId="79E6FA77" w14:textId="72DE6779" w:rsidR="00714BF2" w:rsidRDefault="004243C2" w:rsidP="00F65F06">
      <w:pPr>
        <w:spacing w:after="160" w:line="259" w:lineRule="auto"/>
      </w:pPr>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A210D" w14:textId="77777777" w:rsidR="004243C2" w:rsidRDefault="004243C2" w:rsidP="00F65F06">
      <w:pPr>
        <w:spacing w:after="0"/>
      </w:pPr>
      <w:r>
        <w:separator/>
      </w:r>
    </w:p>
  </w:endnote>
  <w:endnote w:type="continuationSeparator" w:id="0">
    <w:p w14:paraId="0F34361C" w14:textId="77777777" w:rsidR="004243C2" w:rsidRDefault="004243C2" w:rsidP="00F65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08B2E" w14:textId="77777777" w:rsidR="002C6FAC" w:rsidRDefault="002C6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E97FD" w14:textId="12E697DB" w:rsidR="00F65F06" w:rsidRDefault="00F65F06">
    <w:pPr>
      <w:pStyle w:val="Footer"/>
    </w:pPr>
    <w:r>
      <w:rPr>
        <w:noProof/>
      </w:rPr>
      <mc:AlternateContent>
        <mc:Choice Requires="wps">
          <w:drawing>
            <wp:anchor distT="0" distB="0" distL="114300" distR="114300" simplePos="0" relativeHeight="251659264" behindDoc="0" locked="0" layoutInCell="0" allowOverlap="1" wp14:anchorId="335C6EB9" wp14:editId="667A6049">
              <wp:simplePos x="0" y="0"/>
              <wp:positionH relativeFrom="page">
                <wp:posOffset>0</wp:posOffset>
              </wp:positionH>
              <wp:positionV relativeFrom="page">
                <wp:posOffset>10227945</wp:posOffset>
              </wp:positionV>
              <wp:extent cx="7560310" cy="273050"/>
              <wp:effectExtent l="0" t="0" r="0" b="12700"/>
              <wp:wrapNone/>
              <wp:docPr id="1" name="MSIPCM6fb54884bdcb3916c71581c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A193E" w14:textId="0F36F7A3" w:rsidR="00F65F06" w:rsidRPr="00F65F06" w:rsidRDefault="00F65F06" w:rsidP="00F65F06">
                          <w:pPr>
                            <w:spacing w:after="0"/>
                            <w:jc w:val="center"/>
                            <w:rPr>
                              <w:rFonts w:ascii="Calibri" w:hAnsi="Calibri" w:cs="Calibri"/>
                              <w:color w:val="000000"/>
                              <w:sz w:val="20"/>
                            </w:rPr>
                          </w:pPr>
                          <w:r w:rsidRPr="00F65F0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5C6EB9" id="_x0000_t202" coordsize="21600,21600" o:spt="202" path="m,l,21600r21600,l21600,xe">
              <v:stroke joinstyle="miter"/>
              <v:path gradientshapeok="t" o:connecttype="rect"/>
            </v:shapetype>
            <v:shape id="MSIPCM6fb54884bdcb3916c71581c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KrkHd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2A2A193E" w14:textId="0F36F7A3" w:rsidR="00F65F06" w:rsidRPr="00F65F06" w:rsidRDefault="00F65F06" w:rsidP="00F65F06">
                    <w:pPr>
                      <w:spacing w:after="0"/>
                      <w:jc w:val="center"/>
                      <w:rPr>
                        <w:rFonts w:ascii="Calibri" w:hAnsi="Calibri" w:cs="Calibri"/>
                        <w:color w:val="000000"/>
                        <w:sz w:val="20"/>
                      </w:rPr>
                    </w:pPr>
                    <w:r w:rsidRPr="00F65F06">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E863" w14:textId="77777777" w:rsidR="002C6FAC" w:rsidRDefault="002C6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0643F" w14:textId="77777777" w:rsidR="004243C2" w:rsidRDefault="004243C2" w:rsidP="00F65F06">
      <w:pPr>
        <w:spacing w:after="0"/>
      </w:pPr>
      <w:r>
        <w:separator/>
      </w:r>
    </w:p>
  </w:footnote>
  <w:footnote w:type="continuationSeparator" w:id="0">
    <w:p w14:paraId="0301015A" w14:textId="77777777" w:rsidR="004243C2" w:rsidRDefault="004243C2" w:rsidP="00F65F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3B097" w14:textId="77777777" w:rsidR="002C6FAC" w:rsidRDefault="002C6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58E4F" w14:textId="77777777" w:rsidR="002C6FAC" w:rsidRDefault="002C6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39E5" w14:textId="77777777" w:rsidR="002C6FAC" w:rsidRDefault="002C6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C2E11"/>
    <w:multiLevelType w:val="hybridMultilevel"/>
    <w:tmpl w:val="F4F8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06"/>
    <w:rsid w:val="001F0F8E"/>
    <w:rsid w:val="002C6FAC"/>
    <w:rsid w:val="004243C2"/>
    <w:rsid w:val="007F5080"/>
    <w:rsid w:val="00EA0CE8"/>
    <w:rsid w:val="00EB1CDF"/>
    <w:rsid w:val="00F65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230A"/>
  <w15:chartTrackingRefBased/>
  <w15:docId w15:val="{B8EB8582-AC04-4196-8D60-C5B2C69E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F65F06"/>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F65F06"/>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F65F06"/>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F65F06"/>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F06"/>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F65F06"/>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F65F06"/>
    <w:rPr>
      <w:rFonts w:ascii="Arial" w:eastAsia="Times New Roman" w:hAnsi="Arial" w:cs="Arial"/>
      <w:b/>
      <w:iCs/>
      <w:sz w:val="24"/>
      <w:szCs w:val="26"/>
      <w:lang w:eastAsia="en-GB"/>
    </w:rPr>
  </w:style>
  <w:style w:type="paragraph" w:styleId="BodyText">
    <w:name w:val="Body Text"/>
    <w:basedOn w:val="Normal"/>
    <w:link w:val="BodyTextChar"/>
    <w:rsid w:val="00F65F06"/>
  </w:style>
  <w:style w:type="character" w:customStyle="1" w:styleId="BodyTextChar">
    <w:name w:val="Body Text Char"/>
    <w:basedOn w:val="DefaultParagraphFont"/>
    <w:link w:val="BodyText"/>
    <w:rsid w:val="00F65F06"/>
    <w:rPr>
      <w:rFonts w:ascii="Arial" w:eastAsia="Times New Roman" w:hAnsi="Arial" w:cs="Times New Roman"/>
      <w:sz w:val="24"/>
      <w:szCs w:val="20"/>
      <w:lang w:eastAsia="en-GB"/>
    </w:rPr>
  </w:style>
  <w:style w:type="character" w:styleId="Hyperlink">
    <w:name w:val="Hyperlink"/>
    <w:uiPriority w:val="99"/>
    <w:rsid w:val="00F65F06"/>
    <w:rPr>
      <w:rFonts w:ascii="Arial" w:hAnsi="Arial"/>
      <w:color w:val="0000FF"/>
      <w:sz w:val="24"/>
      <w:u w:val="single"/>
    </w:rPr>
  </w:style>
  <w:style w:type="paragraph" w:styleId="ListBullet">
    <w:name w:val="List Bullet"/>
    <w:basedOn w:val="BodyText"/>
    <w:rsid w:val="00F65F06"/>
  </w:style>
  <w:style w:type="table" w:styleId="TableGrid">
    <w:name w:val="Table Grid"/>
    <w:basedOn w:val="TableNormal"/>
    <w:uiPriority w:val="39"/>
    <w:rsid w:val="00F65F0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6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F06"/>
    <w:pPr>
      <w:tabs>
        <w:tab w:val="center" w:pos="4513"/>
        <w:tab w:val="right" w:pos="9026"/>
      </w:tabs>
      <w:spacing w:after="0"/>
    </w:pPr>
  </w:style>
  <w:style w:type="character" w:customStyle="1" w:styleId="HeaderChar">
    <w:name w:val="Header Char"/>
    <w:basedOn w:val="DefaultParagraphFont"/>
    <w:link w:val="Header"/>
    <w:uiPriority w:val="99"/>
    <w:rsid w:val="00F65F06"/>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F65F06"/>
    <w:pPr>
      <w:tabs>
        <w:tab w:val="center" w:pos="4513"/>
        <w:tab w:val="right" w:pos="9026"/>
      </w:tabs>
      <w:spacing w:after="0"/>
    </w:pPr>
  </w:style>
  <w:style w:type="character" w:customStyle="1" w:styleId="FooterChar">
    <w:name w:val="Footer Char"/>
    <w:basedOn w:val="DefaultParagraphFont"/>
    <w:link w:val="Footer"/>
    <w:uiPriority w:val="99"/>
    <w:rsid w:val="00F65F06"/>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56452-D597-47AD-9019-F68BC563A4F9}"/>
</file>

<file path=customXml/itemProps2.xml><?xml version="1.0" encoding="utf-8"?>
<ds:datastoreItem xmlns:ds="http://schemas.openxmlformats.org/officeDocument/2006/customXml" ds:itemID="{A0856DFE-A3D4-4D86-BD51-F52BD0D8EDEA}"/>
</file>

<file path=customXml/itemProps3.xml><?xml version="1.0" encoding="utf-8"?>
<ds:datastoreItem xmlns:ds="http://schemas.openxmlformats.org/officeDocument/2006/customXml" ds:itemID="{FE12E6F1-31B6-4C12-86F1-8B4A388CB7A1}"/>
</file>

<file path=docProps/app.xml><?xml version="1.0" encoding="utf-8"?>
<Properties xmlns="http://schemas.openxmlformats.org/officeDocument/2006/extended-properties" xmlns:vt="http://schemas.openxmlformats.org/officeDocument/2006/docPropsVTypes">
  <Template>Normal</Template>
  <TotalTime>1</TotalTime>
  <Pages>4</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2021-12-10T17:05:00Z</dcterms:created>
  <dcterms:modified xsi:type="dcterms:W3CDTF">2021-12-10T17:32:00Z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2021-12-10T17:06:41Z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903246e5-0a6a-4e3b-9270-bd1431d17132</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