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41A35" w14:textId="77777777" w:rsidR="00D62081" w:rsidRDefault="00D62081" w:rsidP="00D62081">
      <w:pPr>
        <w:pStyle w:val="Heading1"/>
      </w:pPr>
      <w:r w:rsidRPr="001A5EFA">
        <w:t>INTM55</w:t>
      </w:r>
      <w:r>
        <w:t>8210</w:t>
      </w:r>
      <w:r w:rsidRPr="001A5EFA">
        <w:t xml:space="preserve">: </w:t>
      </w:r>
      <w:r>
        <w:t xml:space="preserve">Hybrids: Dual Territory Double Deduction (Chapter 10): </w:t>
      </w:r>
      <w:r w:rsidRPr="001A5EFA">
        <w:t>Example</w:t>
      </w:r>
      <w:r>
        <w:t>s:</w:t>
      </w:r>
      <w:r w:rsidRPr="001A5EFA">
        <w:t xml:space="preserve"> </w:t>
      </w:r>
      <w:r>
        <w:t xml:space="preserve">Multinational </w:t>
      </w:r>
      <w:r w:rsidRPr="00464F48">
        <w:t>company double deduction</w:t>
      </w:r>
    </w:p>
    <w:p w14:paraId="439E2D82" w14:textId="77777777" w:rsidR="00D62081" w:rsidRPr="00B217D1" w:rsidRDefault="00D62081" w:rsidP="00D62081"/>
    <w:p w14:paraId="2644AE4B" w14:textId="77777777" w:rsidR="00D62081" w:rsidRPr="00B217D1" w:rsidRDefault="00D62081" w:rsidP="00D62081">
      <w:r>
        <w:rPr>
          <w:noProof/>
        </w:rPr>
        <w:drawing>
          <wp:inline distT="0" distB="0" distL="0" distR="0" wp14:anchorId="47538732" wp14:editId="6A76658C">
            <wp:extent cx="5287010" cy="3315335"/>
            <wp:effectExtent l="0" t="0" r="0" b="0"/>
            <wp:docPr id="2" name="Picture 2" descr="•A Co is resident in Country X, and has a permanent establishment in Country Y (‘B Branch’).&#10;&#10;•Both Country X and Y treat B Branch as giving rise to a permanent establishment in Country Y.&#10;&#10;•A Co borrows money from an unrelated third party (Bank) and uses the loan to fund income-earning assets in Country Y. &#10;&#10;•Country X allows A Co a deduction for the full amount of this interest expense. &#10;&#10;•Country Y allows B Branch a deduction for a portion of the interest expense (‘%interest’) on the same loan. &#10;&#10;•B Branch does not have any income and surrenders the loss arising from the interest deduction to B Co (a group company resident in Country Y) under a group relief provision of Country Y.&#10;" title="INTM558210: Hybrids: Chapter 10 - Dual territory double deduction: Examples: Multinational company double de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331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DF3376" w14:textId="77777777" w:rsidR="00D62081" w:rsidRPr="00B217D1" w:rsidRDefault="00D62081" w:rsidP="00D62081">
      <w:pPr>
        <w:keepNext/>
        <w:spacing w:before="120"/>
        <w:outlineLvl w:val="1"/>
        <w:rPr>
          <w:rFonts w:cs="Arial"/>
          <w:b/>
          <w:bCs/>
          <w:iCs/>
          <w:sz w:val="32"/>
          <w:szCs w:val="28"/>
        </w:rPr>
      </w:pPr>
      <w:bookmarkStart w:id="0" w:name="_Toc468807053"/>
      <w:r w:rsidRPr="00B217D1">
        <w:rPr>
          <w:rFonts w:cs="Arial"/>
          <w:b/>
          <w:bCs/>
          <w:iCs/>
          <w:sz w:val="32"/>
          <w:szCs w:val="28"/>
        </w:rPr>
        <w:t>Background</w:t>
      </w:r>
      <w:bookmarkEnd w:id="0"/>
    </w:p>
    <w:p w14:paraId="14C602E5" w14:textId="77777777" w:rsidR="00D62081" w:rsidRDefault="00D62081" w:rsidP="00D62081">
      <w:pPr>
        <w:pStyle w:val="ListParagraph"/>
        <w:numPr>
          <w:ilvl w:val="0"/>
          <w:numId w:val="1"/>
        </w:numPr>
        <w:spacing w:before="240"/>
      </w:pPr>
      <w:r w:rsidRPr="00B217D1">
        <w:t>A Co is resident in Country X, and has a permanent establishment in Country Y (‘B Branch’).</w:t>
      </w:r>
    </w:p>
    <w:p w14:paraId="0B69DA8B" w14:textId="77777777" w:rsidR="00D62081" w:rsidRPr="00B217D1" w:rsidRDefault="00D62081" w:rsidP="00D62081">
      <w:pPr>
        <w:pStyle w:val="ListParagraph"/>
        <w:spacing w:before="240"/>
        <w:ind w:left="360"/>
      </w:pPr>
    </w:p>
    <w:p w14:paraId="76F1C7AE" w14:textId="77777777" w:rsidR="00D62081" w:rsidRDefault="00D62081" w:rsidP="00D62081">
      <w:pPr>
        <w:pStyle w:val="ListParagraph"/>
        <w:numPr>
          <w:ilvl w:val="0"/>
          <w:numId w:val="1"/>
        </w:numPr>
        <w:spacing w:before="240"/>
      </w:pPr>
      <w:r w:rsidRPr="00B217D1">
        <w:t>Both Country X and Y treat B Branch as giving rise to a permanent establishment in Country Y.</w:t>
      </w:r>
    </w:p>
    <w:p w14:paraId="34865F77" w14:textId="77777777" w:rsidR="00D62081" w:rsidRPr="00B217D1" w:rsidRDefault="00D62081" w:rsidP="00D62081">
      <w:pPr>
        <w:pStyle w:val="ListParagraph"/>
        <w:spacing w:before="240"/>
        <w:ind w:left="360"/>
      </w:pPr>
    </w:p>
    <w:p w14:paraId="22091872" w14:textId="77777777" w:rsidR="00D62081" w:rsidRDefault="00D62081" w:rsidP="00D62081">
      <w:pPr>
        <w:pStyle w:val="ListParagraph"/>
        <w:numPr>
          <w:ilvl w:val="0"/>
          <w:numId w:val="1"/>
        </w:numPr>
        <w:spacing w:before="240"/>
      </w:pPr>
      <w:r w:rsidRPr="00B217D1">
        <w:t xml:space="preserve">A Co borrows money from an unrelated third party (Bank) and uses the loan to fund income-earning assets in Country Y. </w:t>
      </w:r>
    </w:p>
    <w:p w14:paraId="51FB9A71" w14:textId="77777777" w:rsidR="00D62081" w:rsidRPr="00B217D1" w:rsidRDefault="00D62081" w:rsidP="00D62081">
      <w:pPr>
        <w:pStyle w:val="ListParagraph"/>
        <w:spacing w:before="240"/>
        <w:ind w:left="360"/>
      </w:pPr>
    </w:p>
    <w:p w14:paraId="3C60B066" w14:textId="77777777" w:rsidR="00D62081" w:rsidRDefault="00D62081" w:rsidP="00D62081">
      <w:pPr>
        <w:pStyle w:val="ListParagraph"/>
        <w:numPr>
          <w:ilvl w:val="0"/>
          <w:numId w:val="1"/>
        </w:numPr>
        <w:spacing w:before="240"/>
      </w:pPr>
      <w:r w:rsidRPr="00B217D1">
        <w:t xml:space="preserve">Country X allows A Co a deduction for the full amount of this interest expense. </w:t>
      </w:r>
    </w:p>
    <w:p w14:paraId="645C209B" w14:textId="77777777" w:rsidR="00D62081" w:rsidRPr="00B217D1" w:rsidRDefault="00D62081" w:rsidP="00D62081">
      <w:pPr>
        <w:pStyle w:val="ListParagraph"/>
        <w:spacing w:before="240"/>
        <w:ind w:left="360"/>
      </w:pPr>
    </w:p>
    <w:p w14:paraId="3D5BB532" w14:textId="77777777" w:rsidR="00D62081" w:rsidRDefault="00D62081" w:rsidP="00D62081">
      <w:pPr>
        <w:pStyle w:val="ListParagraph"/>
        <w:numPr>
          <w:ilvl w:val="0"/>
          <w:numId w:val="1"/>
        </w:numPr>
        <w:spacing w:before="240"/>
      </w:pPr>
      <w:r w:rsidRPr="00B217D1">
        <w:t xml:space="preserve">Country Y allows B Branch a deduction for a portion of the interest expense (‘%interest’) on the same loan. </w:t>
      </w:r>
    </w:p>
    <w:p w14:paraId="024325AC" w14:textId="77777777" w:rsidR="00D62081" w:rsidRPr="00B217D1" w:rsidRDefault="00D62081" w:rsidP="00D62081">
      <w:pPr>
        <w:pStyle w:val="ListParagraph"/>
        <w:spacing w:before="240"/>
        <w:ind w:left="360"/>
      </w:pPr>
    </w:p>
    <w:p w14:paraId="6508D72D" w14:textId="77777777" w:rsidR="00D62081" w:rsidRPr="00B217D1" w:rsidRDefault="00D62081" w:rsidP="00D62081">
      <w:pPr>
        <w:pStyle w:val="ListParagraph"/>
        <w:numPr>
          <w:ilvl w:val="0"/>
          <w:numId w:val="1"/>
        </w:numPr>
        <w:spacing w:before="240"/>
      </w:pPr>
      <w:r w:rsidRPr="00B217D1">
        <w:t xml:space="preserve">B Branch </w:t>
      </w:r>
      <w:r>
        <w:t xml:space="preserve">does not have any income and </w:t>
      </w:r>
      <w:r w:rsidRPr="00B217D1">
        <w:t xml:space="preserve">surrenders the </w:t>
      </w:r>
      <w:r>
        <w:t xml:space="preserve">loss arising from the </w:t>
      </w:r>
      <w:r w:rsidRPr="00B217D1">
        <w:t xml:space="preserve">interest deduction to B Co (a group company resident in Country Y) under a group relief provision </w:t>
      </w:r>
      <w:r>
        <w:t>of</w:t>
      </w:r>
      <w:r w:rsidRPr="00B217D1">
        <w:t xml:space="preserve"> Country Y</w:t>
      </w:r>
      <w:r>
        <w:t>.</w:t>
      </w:r>
    </w:p>
    <w:p w14:paraId="1F33D330" w14:textId="77777777" w:rsidR="00D62081" w:rsidRPr="00B217D1" w:rsidRDefault="00D62081" w:rsidP="00D62081">
      <w:pPr>
        <w:keepNext/>
        <w:spacing w:before="120"/>
        <w:outlineLvl w:val="1"/>
        <w:rPr>
          <w:rFonts w:cs="Arial"/>
          <w:b/>
          <w:bCs/>
          <w:iCs/>
          <w:sz w:val="32"/>
          <w:szCs w:val="28"/>
        </w:rPr>
      </w:pPr>
      <w:bookmarkStart w:id="1" w:name="_Toc468807054"/>
      <w:r w:rsidRPr="00B217D1">
        <w:rPr>
          <w:rFonts w:cs="Arial"/>
          <w:b/>
          <w:bCs/>
          <w:iCs/>
          <w:sz w:val="32"/>
          <w:szCs w:val="28"/>
        </w:rPr>
        <w:lastRenderedPageBreak/>
        <w:t>Analysis - Applying the tests in s259JA TIOPA 2010</w:t>
      </w:r>
      <w:bookmarkEnd w:id="1"/>
    </w:p>
    <w:p w14:paraId="223989E4" w14:textId="77777777" w:rsidR="00D62081" w:rsidRPr="00B217D1" w:rsidRDefault="00D62081" w:rsidP="00D62081">
      <w:bookmarkStart w:id="2" w:name="_Toc468807056"/>
      <w:r w:rsidRPr="00B217D1">
        <w:t>Do the interest payment by A Co and the interest deduction allowed to B Branch satisfy the relevant conditions to fall within the scope of the dual territory double deduction rules?</w:t>
      </w:r>
    </w:p>
    <w:p w14:paraId="146BC52D" w14:textId="77777777" w:rsidR="00D62081" w:rsidRPr="00B217D1" w:rsidRDefault="00D62081" w:rsidP="00D62081">
      <w:pPr>
        <w:keepNext/>
        <w:spacing w:before="120"/>
        <w:outlineLvl w:val="2"/>
        <w:rPr>
          <w:rFonts w:cs="Arial"/>
          <w:b/>
          <w:iCs/>
          <w:szCs w:val="26"/>
        </w:rPr>
      </w:pPr>
      <w:bookmarkStart w:id="3" w:name="_Toc468807055"/>
      <w:r w:rsidRPr="00B217D1">
        <w:rPr>
          <w:rFonts w:cs="Arial"/>
          <w:b/>
          <w:iCs/>
          <w:szCs w:val="26"/>
        </w:rPr>
        <w:t>Condition A: Is</w:t>
      </w:r>
      <w:r>
        <w:rPr>
          <w:rFonts w:cs="Arial"/>
          <w:b/>
          <w:iCs/>
          <w:szCs w:val="26"/>
        </w:rPr>
        <w:t xml:space="preserve"> there </w:t>
      </w:r>
      <w:r w:rsidRPr="00B217D1">
        <w:rPr>
          <w:rFonts w:cs="Arial"/>
          <w:b/>
          <w:iCs/>
          <w:szCs w:val="26"/>
        </w:rPr>
        <w:t xml:space="preserve">a relevant multinational </w:t>
      </w:r>
      <w:r>
        <w:rPr>
          <w:rFonts w:cs="Arial"/>
          <w:b/>
          <w:iCs/>
          <w:szCs w:val="26"/>
        </w:rPr>
        <w:t xml:space="preserve">or dual resident </w:t>
      </w:r>
      <w:r w:rsidRPr="00B217D1">
        <w:rPr>
          <w:rFonts w:cs="Arial"/>
          <w:b/>
          <w:iCs/>
          <w:szCs w:val="26"/>
        </w:rPr>
        <w:t>company?</w:t>
      </w:r>
      <w:bookmarkEnd w:id="3"/>
    </w:p>
    <w:p w14:paraId="0577FE8E" w14:textId="77777777" w:rsidR="00D62081" w:rsidRPr="00B217D1" w:rsidRDefault="00D62081" w:rsidP="00D62081">
      <w:r w:rsidRPr="00B217D1">
        <w:t>The definition of relevant multinational company is given at s259JA(4).</w:t>
      </w:r>
    </w:p>
    <w:p w14:paraId="676D51B2" w14:textId="77777777" w:rsidR="00D62081" w:rsidRPr="00B217D1" w:rsidRDefault="00D62081" w:rsidP="00D62081">
      <w:r w:rsidRPr="00B217D1">
        <w:t>S259JA(4)(a) is satisfied as A Co is within the charge to tax in a country in which it is not resident because it carries on business in Country Y (‘the PE jurisdiction’) through a permanent establishment (B Branch).</w:t>
      </w:r>
    </w:p>
    <w:p w14:paraId="67E3F7C6" w14:textId="77777777" w:rsidR="00D62081" w:rsidRDefault="00D62081" w:rsidP="00D62081">
      <w:r>
        <w:t>I</w:t>
      </w:r>
      <w:r w:rsidRPr="00B217D1">
        <w:t xml:space="preserve">f the UK is </w:t>
      </w:r>
      <w:r>
        <w:t xml:space="preserve">either </w:t>
      </w:r>
      <w:r w:rsidRPr="00B217D1">
        <w:t>Country X (the parent jurisdiction) or Country Y (the PE jurisdiction), the requirements at s259JA(4)</w:t>
      </w:r>
      <w:r>
        <w:t>(b)</w:t>
      </w:r>
      <w:r w:rsidRPr="00B217D1">
        <w:t xml:space="preserve"> are met and A Co is a relevant multinational company</w:t>
      </w:r>
      <w:r>
        <w:t>.</w:t>
      </w:r>
    </w:p>
    <w:p w14:paraId="2FA5462A" w14:textId="77777777" w:rsidR="00D62081" w:rsidRPr="00B217D1" w:rsidRDefault="00D62081" w:rsidP="00D62081">
      <w:r w:rsidRPr="00B217D1">
        <w:t xml:space="preserve">Condition A </w:t>
      </w:r>
      <w:r>
        <w:t>is</w:t>
      </w:r>
      <w:r w:rsidRPr="00B217D1">
        <w:t xml:space="preserve"> satisfied.</w:t>
      </w:r>
    </w:p>
    <w:p w14:paraId="72818DED" w14:textId="77777777" w:rsidR="00D62081" w:rsidRPr="00B217D1" w:rsidRDefault="00D62081" w:rsidP="00D62081">
      <w:r w:rsidRPr="00B217D1">
        <w:t xml:space="preserve">If the UK is neither Country X nor Country Y then the condition is not satisfied. If this is the case then the </w:t>
      </w:r>
      <w:r>
        <w:t>i</w:t>
      </w:r>
      <w:r w:rsidRPr="00B217D1">
        <w:t xml:space="preserve">mported </w:t>
      </w:r>
      <w:r>
        <w:t>m</w:t>
      </w:r>
      <w:r w:rsidRPr="00B217D1">
        <w:t>ismatch rules within s259K TIOPA 2010 should be considered.</w:t>
      </w:r>
    </w:p>
    <w:p w14:paraId="6F2EA0AD" w14:textId="77777777" w:rsidR="00D62081" w:rsidRPr="00B217D1" w:rsidRDefault="00D62081" w:rsidP="00D62081">
      <w:pPr>
        <w:keepNext/>
        <w:spacing w:before="120"/>
        <w:outlineLvl w:val="2"/>
        <w:rPr>
          <w:rFonts w:cs="Arial"/>
          <w:b/>
          <w:iCs/>
          <w:szCs w:val="26"/>
        </w:rPr>
      </w:pPr>
      <w:r w:rsidRPr="00B217D1">
        <w:rPr>
          <w:rFonts w:cs="Arial"/>
          <w:b/>
          <w:iCs/>
          <w:szCs w:val="26"/>
        </w:rPr>
        <w:t xml:space="preserve">Condition B: Is </w:t>
      </w:r>
      <w:r>
        <w:rPr>
          <w:rFonts w:cs="Arial"/>
          <w:b/>
          <w:iCs/>
          <w:szCs w:val="26"/>
        </w:rPr>
        <w:t>it reasonable to suppose that there is a dual territory double deduction amount that arises because the company is a multinational or dual resident company?</w:t>
      </w:r>
      <w:bookmarkEnd w:id="2"/>
    </w:p>
    <w:p w14:paraId="6AD6F61F" w14:textId="77777777" w:rsidR="00D62081" w:rsidRPr="00B217D1" w:rsidRDefault="00D62081" w:rsidP="00D62081">
      <w:r w:rsidRPr="00B217D1">
        <w:t>Given the facts above, it is reasonable to suppose that Country X will permit A Co a full deduction for the interest expense under the loan in the payment period.</w:t>
      </w:r>
    </w:p>
    <w:p w14:paraId="53ACE50B" w14:textId="77777777" w:rsidR="00D62081" w:rsidRDefault="00D62081" w:rsidP="00D62081">
      <w:r w:rsidRPr="00B217D1">
        <w:t>It is also reasonable to suppose that Country Y will also permit a proportion of the interest expense (% interest) to be deducted in calculating the taxable income of Branch B, which is merely a part of A Co.</w:t>
      </w:r>
    </w:p>
    <w:p w14:paraId="2ADBB27C" w14:textId="77777777" w:rsidR="00D62081" w:rsidRPr="00320485" w:rsidRDefault="00D62081" w:rsidP="00D62081">
      <w:pPr>
        <w:pStyle w:val="BodyText"/>
      </w:pPr>
      <w:r>
        <w:t>This double deduction arises because A Co is a relevant multinational company.</w:t>
      </w:r>
    </w:p>
    <w:p w14:paraId="495B1092" w14:textId="77777777" w:rsidR="00D62081" w:rsidRPr="00B217D1" w:rsidRDefault="00D62081" w:rsidP="00D62081">
      <w:r w:rsidRPr="00B217D1">
        <w:t xml:space="preserve">Condition B is satisfied. </w:t>
      </w:r>
    </w:p>
    <w:p w14:paraId="45977C7E" w14:textId="77777777" w:rsidR="00D62081" w:rsidRPr="00B217D1" w:rsidRDefault="00D62081" w:rsidP="00D62081">
      <w:r w:rsidRPr="00B217D1">
        <w:t>The extent of the dual territory double deduction amount is %interest, being the amount of the interest deduction allowed to Branch B in Country Y.</w:t>
      </w:r>
    </w:p>
    <w:p w14:paraId="5F8FC43D" w14:textId="77777777" w:rsidR="00D62081" w:rsidRDefault="00D62081" w:rsidP="00D62081">
      <w:pPr>
        <w:pStyle w:val="Heading3"/>
      </w:pPr>
      <w:r>
        <w:t>Conclusion</w:t>
      </w:r>
    </w:p>
    <w:p w14:paraId="29684987" w14:textId="77777777" w:rsidR="00D62081" w:rsidRPr="00DC397B" w:rsidRDefault="00D62081" w:rsidP="00D62081">
      <w:r w:rsidRPr="00DC397B">
        <w:t>A</w:t>
      </w:r>
      <w:r>
        <w:t>s both</w:t>
      </w:r>
      <w:r w:rsidRPr="00DC397B">
        <w:t xml:space="preserve"> conditions are satisfied</w:t>
      </w:r>
      <w:r>
        <w:t xml:space="preserve">, the relevant counteraction must be considered in respect of amounts </w:t>
      </w:r>
      <w:r w:rsidRPr="00DC397B">
        <w:t xml:space="preserve">identified as </w:t>
      </w:r>
      <w:r>
        <w:t xml:space="preserve">dual territory </w:t>
      </w:r>
      <w:r w:rsidRPr="00DC397B">
        <w:t>double deduction</w:t>
      </w:r>
      <w:r>
        <w:t>s</w:t>
      </w:r>
      <w:r w:rsidRPr="00DC397B">
        <w:t xml:space="preserve">. </w:t>
      </w:r>
    </w:p>
    <w:p w14:paraId="20D99311" w14:textId="77777777" w:rsidR="00D62081" w:rsidRPr="00B217D1" w:rsidRDefault="00D62081" w:rsidP="00D62081">
      <w:pPr>
        <w:keepNext/>
        <w:spacing w:before="120"/>
        <w:outlineLvl w:val="1"/>
        <w:rPr>
          <w:rFonts w:cs="Arial"/>
          <w:b/>
          <w:bCs/>
          <w:iCs/>
          <w:sz w:val="32"/>
          <w:szCs w:val="28"/>
        </w:rPr>
      </w:pPr>
      <w:bookmarkStart w:id="4" w:name="_Toc468807057"/>
      <w:r w:rsidRPr="00B217D1">
        <w:rPr>
          <w:rFonts w:cs="Arial"/>
          <w:b/>
          <w:bCs/>
          <w:iCs/>
          <w:sz w:val="32"/>
          <w:szCs w:val="28"/>
        </w:rPr>
        <w:t>Counteraction</w:t>
      </w:r>
      <w:bookmarkEnd w:id="4"/>
    </w:p>
    <w:p w14:paraId="55EBB08B" w14:textId="77777777" w:rsidR="00D62081" w:rsidRPr="00B217D1" w:rsidRDefault="00D62081" w:rsidP="00D62081">
      <w:r w:rsidRPr="00B217D1">
        <w:t>The counteraction applicable will depend upon whether the UK is in the position of Country X or Country Y.</w:t>
      </w:r>
    </w:p>
    <w:p w14:paraId="4DE09545" w14:textId="77777777" w:rsidR="00D62081" w:rsidRPr="00B217D1" w:rsidRDefault="00D62081" w:rsidP="00D62081">
      <w:pPr>
        <w:keepNext/>
        <w:spacing w:before="120"/>
        <w:outlineLvl w:val="2"/>
        <w:rPr>
          <w:rFonts w:cs="Arial"/>
          <w:b/>
          <w:iCs/>
          <w:szCs w:val="26"/>
        </w:rPr>
      </w:pPr>
      <w:bookmarkStart w:id="5" w:name="_Toc468807058"/>
      <w:r w:rsidRPr="00B217D1">
        <w:rPr>
          <w:rFonts w:cs="Arial"/>
          <w:b/>
          <w:iCs/>
          <w:szCs w:val="26"/>
        </w:rPr>
        <w:lastRenderedPageBreak/>
        <w:t>Counteraction where the UK is in the position of Country X (parent jurisdiction)</w:t>
      </w:r>
      <w:bookmarkEnd w:id="5"/>
    </w:p>
    <w:p w14:paraId="3BCB4A90" w14:textId="77777777" w:rsidR="00D62081" w:rsidRDefault="00D62081" w:rsidP="00D62081">
      <w:r w:rsidRPr="00B217D1">
        <w:t xml:space="preserve">Where the UK is in the position of Country X (the parent jurisdiction) then s259JC will apply. </w:t>
      </w:r>
    </w:p>
    <w:p w14:paraId="00F84FA2" w14:textId="77777777" w:rsidR="00D62081" w:rsidRDefault="00D62081" w:rsidP="00D62081">
      <w:bookmarkStart w:id="6" w:name="_Toc468807059"/>
      <w:r>
        <w:t xml:space="preserve">There is no dual inclusion income arising in relation to A Co/B Branch. </w:t>
      </w:r>
      <w:r w:rsidRPr="00B217D1">
        <w:t xml:space="preserve">The deduction in B Branch </w:t>
      </w:r>
      <w:r>
        <w:t xml:space="preserve">creates a loss which is surrendered as group relief to B Co. The dual territory double deduction amount is in substance deducted from the income of B Co.  Consequently, the amount surrendered is an impermissible overseas deduction. </w:t>
      </w:r>
    </w:p>
    <w:p w14:paraId="51139ABF" w14:textId="77777777" w:rsidR="00D62081" w:rsidRDefault="00D62081" w:rsidP="00D62081">
      <w:r>
        <w:t>T</w:t>
      </w:r>
      <w:r w:rsidRPr="00B217D1">
        <w:t xml:space="preserve">he interest deduction available to A Co </w:t>
      </w:r>
      <w:r>
        <w:t>is</w:t>
      </w:r>
      <w:r w:rsidRPr="00B217D1">
        <w:t xml:space="preserve"> reduced by th</w:t>
      </w:r>
      <w:r>
        <w:t>is</w:t>
      </w:r>
      <w:r w:rsidRPr="00B217D1">
        <w:t xml:space="preserve"> </w:t>
      </w:r>
      <w:r>
        <w:t>impermissible overseas deduction</w:t>
      </w:r>
      <w:r w:rsidRPr="00B217D1">
        <w:t xml:space="preserve">. </w:t>
      </w:r>
    </w:p>
    <w:p w14:paraId="78246142" w14:textId="77777777" w:rsidR="00D62081" w:rsidRPr="00572C40" w:rsidRDefault="00D62081" w:rsidP="00D62081">
      <w:pPr>
        <w:pStyle w:val="BodyText"/>
      </w:pPr>
      <w:r>
        <w:t xml:space="preserve">If B Branch did not surrender its loss, there would be no impermissible overseas deduction and there would be no need to restrict the deduction available to A Co. </w:t>
      </w:r>
    </w:p>
    <w:p w14:paraId="26B41E69" w14:textId="77777777" w:rsidR="00D62081" w:rsidRPr="00B217D1" w:rsidRDefault="00D62081" w:rsidP="00D62081">
      <w:pPr>
        <w:keepNext/>
        <w:spacing w:before="120"/>
        <w:outlineLvl w:val="2"/>
        <w:rPr>
          <w:rFonts w:cs="Arial"/>
          <w:b/>
          <w:iCs/>
          <w:szCs w:val="26"/>
        </w:rPr>
      </w:pPr>
      <w:r w:rsidRPr="00B217D1">
        <w:rPr>
          <w:rFonts w:cs="Arial"/>
          <w:b/>
          <w:iCs/>
          <w:szCs w:val="26"/>
        </w:rPr>
        <w:t>Counteraction where the UK is in the position of Country Y (the PE jurisdiction)</w:t>
      </w:r>
      <w:bookmarkEnd w:id="6"/>
    </w:p>
    <w:p w14:paraId="66FF5851" w14:textId="77777777" w:rsidR="00D62081" w:rsidRPr="00B217D1" w:rsidRDefault="00D62081" w:rsidP="00D62081">
      <w:r w:rsidRPr="00B217D1">
        <w:t xml:space="preserve">Where the UK is in the position of Country Y (the PE jurisdiction), and it is reasonable to suppose that the dual territory double deduction amount has not been fully counteracted by any other country under a counteraction equivalent to s259JC, then s259JD will apply. </w:t>
      </w:r>
    </w:p>
    <w:p w14:paraId="6CEC01C7" w14:textId="77777777" w:rsidR="00D62081" w:rsidRDefault="00D62081" w:rsidP="00D62081">
      <w:r>
        <w:t>The UK will deny B Branch a deduction for the dual territory double deduction amount to the extent that it is not set against dual inclusion income. In this example, as B Branch has no income there can be no dual inclusion income and so the full dual territory double deduction (% interest) will be denied. As the UK has denied the deduction, B Branch no longer has a loss to surrender under group relief provisions. If there had been dual inclusion income, the dual territory double deduction could be allowed as a deduction in B Branch to the extent that;</w:t>
      </w:r>
    </w:p>
    <w:p w14:paraId="350D0DC7" w14:textId="77777777" w:rsidR="00D62081" w:rsidRDefault="00D62081" w:rsidP="00D62081">
      <w:pPr>
        <w:pStyle w:val="BodyText"/>
      </w:pPr>
      <w:r>
        <w:t>- it did not exceed the dual inclusion income</w:t>
      </w:r>
    </w:p>
    <w:p w14:paraId="50D66714" w14:textId="77777777" w:rsidR="00D62081" w:rsidRPr="003D3CED" w:rsidRDefault="00D62081" w:rsidP="00D62081">
      <w:pPr>
        <w:pStyle w:val="BodyText"/>
      </w:pPr>
      <w:r>
        <w:t>- the measure of dual inclusion income was restricted by the amount of any illegitimate overseas deduction in Country X.</w:t>
      </w:r>
    </w:p>
    <w:p w14:paraId="4C3D57A9" w14:textId="77777777" w:rsidR="00D62081" w:rsidRDefault="00D62081" w:rsidP="00D62081">
      <w:r>
        <w:t>Any dual territory double deduction amount that cannot be deducted from B Branch’s dual inclusion income for the deduction period is carried forward and deducted from dual inclusion income of subsequent accounting periods.</w:t>
      </w:r>
    </w:p>
    <w:p w14:paraId="6858CFB9" w14:textId="77777777" w:rsidR="00D62081" w:rsidRDefault="00D62081" w:rsidP="00D62081">
      <w:r>
        <w:t>If the Commissioners are satisfied that –</w:t>
      </w:r>
    </w:p>
    <w:p w14:paraId="3225EA8A" w14:textId="77777777" w:rsidR="00D62081" w:rsidRDefault="00D62081" w:rsidP="00D62081">
      <w:pPr>
        <w:pStyle w:val="ListParagraph"/>
        <w:numPr>
          <w:ilvl w:val="0"/>
          <w:numId w:val="2"/>
        </w:numPr>
      </w:pPr>
      <w:r>
        <w:t xml:space="preserve">the company has ceased to be a relevant multinational company, and </w:t>
      </w:r>
    </w:p>
    <w:p w14:paraId="73A36D0C" w14:textId="77777777" w:rsidR="00D62081" w:rsidRDefault="00D62081" w:rsidP="00D62081">
      <w:pPr>
        <w:pStyle w:val="ListParagraph"/>
        <w:numPr>
          <w:ilvl w:val="0"/>
          <w:numId w:val="2"/>
        </w:numPr>
      </w:pPr>
      <w:r>
        <w:t xml:space="preserve">B Branch has not been able to deduct the dual territory double deduction from dual inclusion income of subsequent periods, </w:t>
      </w:r>
    </w:p>
    <w:p w14:paraId="5F9B590C" w14:textId="77777777" w:rsidR="00714BF2" w:rsidRDefault="00D62081">
      <w:r>
        <w:t>then those</w:t>
      </w:r>
      <w:r w:rsidRPr="00B217D1">
        <w:t xml:space="preserve"> stranded deductions </w:t>
      </w:r>
      <w:r>
        <w:t xml:space="preserve">may be deducted from B Branch’s taxable total profits in its final accounting period (i.e. the period in which the company ceased to be a relevant multinational company). </w:t>
      </w:r>
    </w:p>
    <w:bookmarkStart w:id="7" w:name="_Hlk90048850"/>
    <w:bookmarkStart w:id="8" w:name="_Hlk90049141"/>
    <w:p w14:paraId="288905D9" w14:textId="77777777" w:rsidR="008044D5" w:rsidRDefault="008044D5" w:rsidP="008044D5">
      <w:r>
        <w:lastRenderedPageBreak/>
        <w:fldChar w:fldCharType="begin"/>
      </w:r>
      <w:r>
        <w:instrText>HYPERLINK "https://www.gov.uk/hmrc-internal-manuals/international-manual/intm550000"</w:instrText>
      </w:r>
      <w:r>
        <w:fldChar w:fldCharType="separate"/>
      </w:r>
      <w:r>
        <w:rPr>
          <w:rStyle w:val="Hyperlink"/>
        </w:rPr>
        <w:t>Return to contents</w:t>
      </w:r>
      <w:r>
        <w:fldChar w:fldCharType="end"/>
      </w:r>
      <w:bookmarkEnd w:id="7"/>
      <w:r>
        <w:t xml:space="preserve"> </w:t>
      </w:r>
      <w:bookmarkEnd w:id="8"/>
    </w:p>
    <w:p w14:paraId="65B40C94" w14:textId="77777777" w:rsidR="008044D5" w:rsidRPr="008044D5" w:rsidRDefault="008044D5" w:rsidP="008044D5">
      <w:pPr>
        <w:pStyle w:val="BodyText"/>
      </w:pPr>
    </w:p>
    <w:sectPr w:rsidR="008044D5" w:rsidRPr="00804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9D954" w14:textId="77777777" w:rsidR="0016322B" w:rsidRDefault="0016322B" w:rsidP="00D62081">
      <w:pPr>
        <w:spacing w:after="0"/>
      </w:pPr>
      <w:r>
        <w:separator/>
      </w:r>
    </w:p>
  </w:endnote>
  <w:endnote w:type="continuationSeparator" w:id="0">
    <w:p w14:paraId="3ED48198" w14:textId="77777777" w:rsidR="0016322B" w:rsidRDefault="0016322B" w:rsidP="00D620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0571" w14:textId="77777777" w:rsidR="008044D5" w:rsidRDefault="0080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73E4" w14:textId="77777777" w:rsidR="00D62081" w:rsidRDefault="00D620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01386C" wp14:editId="24DE4B1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4594453a6410dbf993ce8f3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F4AD77" w14:textId="77777777" w:rsidR="00D62081" w:rsidRPr="00D62081" w:rsidRDefault="00D62081" w:rsidP="00D6208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6208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4594453a6410dbf993ce8f3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oiF+o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:rsidR="00D62081" w:rsidRPr="00D62081" w:rsidRDefault="00D62081" w:rsidP="00D6208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6208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FDF27" w14:textId="77777777" w:rsidR="008044D5" w:rsidRDefault="008044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4EF14" w14:textId="77777777" w:rsidR="0016322B" w:rsidRDefault="0016322B" w:rsidP="00D62081">
      <w:pPr>
        <w:spacing w:after="0"/>
      </w:pPr>
      <w:r>
        <w:separator/>
      </w:r>
    </w:p>
  </w:footnote>
  <w:footnote w:type="continuationSeparator" w:id="0">
    <w:p w14:paraId="20F54D46" w14:textId="77777777" w:rsidR="0016322B" w:rsidRDefault="0016322B" w:rsidP="00D620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4589" w14:textId="77777777" w:rsidR="008044D5" w:rsidRDefault="0080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C52B8" w14:textId="77777777" w:rsidR="008044D5" w:rsidRDefault="008044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DB8D1" w14:textId="77777777" w:rsidR="008044D5" w:rsidRDefault="00804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95455"/>
    <w:multiLevelType w:val="hybridMultilevel"/>
    <w:tmpl w:val="FEA47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AF0A2E"/>
    <w:multiLevelType w:val="hybridMultilevel"/>
    <w:tmpl w:val="63CCE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81"/>
    <w:rsid w:val="0016322B"/>
    <w:rsid w:val="001F0F8E"/>
    <w:rsid w:val="007F5080"/>
    <w:rsid w:val="008044D5"/>
    <w:rsid w:val="00D62081"/>
    <w:rsid w:val="00EA0CE8"/>
    <w:rsid w:val="00E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53402"/>
  <w15:chartTrackingRefBased/>
  <w15:docId w15:val="{8AA57506-F70A-4B06-9C9A-7CDA4CB7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D62081"/>
    <w:pPr>
      <w:spacing w:after="24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62081"/>
    <w:pPr>
      <w:keepNext/>
      <w:keepLines/>
      <w:outlineLvl w:val="0"/>
    </w:pPr>
    <w:rPr>
      <w:rFonts w:cs="Arial"/>
      <w:b/>
      <w:bCs/>
      <w:kern w:val="2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D62081"/>
    <w:pPr>
      <w:keepLines w:val="0"/>
      <w:spacing w:before="120" w:after="240"/>
      <w:outlineLvl w:val="2"/>
    </w:pPr>
    <w:rPr>
      <w:rFonts w:ascii="Arial" w:eastAsia="Times New Roman" w:hAnsi="Arial" w:cs="Arial"/>
      <w:b/>
      <w:iC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081"/>
    <w:rPr>
      <w:rFonts w:ascii="Arial" w:eastAsia="Times New Roman" w:hAnsi="Arial" w:cs="Arial"/>
      <w:b/>
      <w:bCs/>
      <w:kern w:val="28"/>
      <w:sz w:val="40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62081"/>
    <w:rPr>
      <w:rFonts w:ascii="Arial" w:eastAsia="Times New Roman" w:hAnsi="Arial" w:cs="Arial"/>
      <w:b/>
      <w:iCs/>
      <w:sz w:val="24"/>
      <w:szCs w:val="26"/>
      <w:lang w:eastAsia="en-GB"/>
    </w:rPr>
  </w:style>
  <w:style w:type="paragraph" w:styleId="BodyText">
    <w:name w:val="Body Text"/>
    <w:basedOn w:val="Normal"/>
    <w:link w:val="BodyTextChar"/>
    <w:rsid w:val="00D62081"/>
  </w:style>
  <w:style w:type="character" w:customStyle="1" w:styleId="BodyTextChar">
    <w:name w:val="Body Text Char"/>
    <w:basedOn w:val="DefaultParagraphFont"/>
    <w:link w:val="BodyText"/>
    <w:rsid w:val="00D62081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uiPriority w:val="99"/>
    <w:rsid w:val="00D62081"/>
    <w:rPr>
      <w:rFonts w:ascii="Arial" w:hAnsi="Arial"/>
      <w:color w:val="0000FF"/>
      <w:sz w:val="24"/>
      <w:u w:val="single"/>
    </w:rPr>
  </w:style>
  <w:style w:type="paragraph" w:styleId="ListParagraph">
    <w:name w:val="List Paragraph"/>
    <w:basedOn w:val="Normal"/>
    <w:uiPriority w:val="34"/>
    <w:qFormat/>
    <w:rsid w:val="00D620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6208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208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2081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6208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2081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18433AF74A4EBB5B6F5E327EBF4D" ma:contentTypeVersion="12" ma:contentTypeDescription="Create a new document." ma:contentTypeScope="" ma:versionID="3ebf08c28007acb212aac7d9c7e48ff7">
  <xsd:schema xmlns:xsd="http://www.w3.org/2001/XMLSchema" xmlns:xs="http://www.w3.org/2001/XMLSchema" xmlns:p="http://schemas.microsoft.com/office/2006/metadata/properties" xmlns:ns2="417865cd-4129-408b-a079-f246660bbdb5" xmlns:ns3="0f2d7795-f8ec-4d3c-929f-0e5668c51a48" targetNamespace="http://schemas.microsoft.com/office/2006/metadata/properties" ma:root="true" ma:fieldsID="3334006b85fcb72ef50f90033308db4d" ns2:_="" ns3:_="">
    <xsd:import namespace="417865cd-4129-408b-a079-f246660bbdb5"/>
    <xsd:import namespace="0f2d7795-f8ec-4d3c-929f-0e5668c5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865cd-4129-408b-a079-f246660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7795-f8ec-4d3c-929f-0e5668c5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8C89E2-243A-48C2-9C22-35D896C6F98B}"/>
</file>

<file path=customXml/itemProps2.xml><?xml version="1.0" encoding="utf-8"?>
<ds:datastoreItem xmlns:ds="http://schemas.openxmlformats.org/officeDocument/2006/customXml" ds:itemID="{A857BBCF-C49F-415F-AED6-A9630022F657}"/>
</file>

<file path=customXml/itemProps3.xml><?xml version="1.0" encoding="utf-8"?>
<ds:datastoreItem xmlns:ds="http://schemas.openxmlformats.org/officeDocument/2006/customXml" ds:itemID="{ABD86B26-372E-4C38-88C4-4559AFC35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Paul (CS&amp;TD Business, Assets &amp; International)</dc:creator>
  <cp:keywords/>
  <dc:description/>
  <cp:lastModifiedBy>Duncan, Paul (CS&amp;TD Business, Assets &amp; International)</cp:lastModifiedBy>
  <cp:revision>2</cp:revision>
  <dcterms:created xsi:type="dcterms:W3CDTF">2021-12-10T17:04:00Z</dcterms:created>
  <dcterms:modified xsi:type="dcterms:W3CDTF">2021-12-10T17:32:00Z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2021-12-10T17:04:48Z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2504fe58-5e68-4f88-a2ab-add56a2871eb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0x010100548D18433AF74A4EBB5B6F5E327EBF4D</vt:lpwstr>
  </property>
</Properties>
</file>