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F464E" w14:textId="77777777" w:rsidR="00DB4B24" w:rsidRDefault="00DB4B24" w:rsidP="00DB4B24">
      <w:pPr>
        <w:pStyle w:val="Heading1"/>
      </w:pPr>
      <w:bookmarkStart w:id="0" w:name="_Hlk47958552"/>
      <w:bookmarkStart w:id="1" w:name="_Toc468806979"/>
      <w:bookmarkStart w:id="2" w:name="_Toc478036756"/>
      <w:r w:rsidRPr="001256DF">
        <w:t xml:space="preserve">INTM557210: </w:t>
      </w:r>
      <w:r>
        <w:t>Hybrids: Hybrid entity double deduction mismatches (Chapter 9): Example: Timing and recognition differences – permitted periods – illegitimate overseas deduction</w:t>
      </w:r>
    </w:p>
    <w:p w14:paraId="0989025E" w14:textId="77777777" w:rsidR="00DB4B24" w:rsidRDefault="00DB4B24" w:rsidP="00DB4B24">
      <w:r>
        <w:t xml:space="preserve">This example demonstrates how the permitted periods operate when calculating dual inclusion income along with the consequences of illegitimate overseas deductions. </w:t>
      </w:r>
    </w:p>
    <w:p w14:paraId="682C9681" w14:textId="77777777" w:rsidR="00DB4B24" w:rsidRPr="004F634A" w:rsidRDefault="00DB4B24" w:rsidP="00DB4B24">
      <w:pPr>
        <w:pStyle w:val="BodyText"/>
        <w:jc w:val="center"/>
      </w:pPr>
      <w:r w:rsidRPr="000C2E4A">
        <w:rPr>
          <w:rFonts w:cs="Arial"/>
          <w:b/>
          <w:bCs/>
          <w:iCs/>
          <w:noProof/>
          <w:sz w:val="32"/>
          <w:szCs w:val="28"/>
        </w:rPr>
        <w:drawing>
          <wp:inline distT="0" distB="0" distL="0" distR="0" wp14:anchorId="3B665088" wp14:editId="5F2C40FB">
            <wp:extent cx="3518535" cy="2433320"/>
            <wp:effectExtent l="0" t="0" r="5715" b="5080"/>
            <wp:docPr id="1" name="Picture 1" descr="INTM557210 structure diagram&#10;&#10;Co. 1 is resident in Country X and owns all the issued shares in Co.2, which is resident in Country Y (UK).&#10;Co. 2 is treated as a taxable person in Country Y (UK) but is not a separate taxable person under the tax law in Country X.&#10;Co. 2’s income or profits are taxable in Country X (as income or profits of Co.1) and in Country Y (UK) (as income or profits of Co. 2).&#10;Co. 1 has 500 of operating income spread evenly over a two year period. &#10;Co. 2 has 500 of operating income over a two year period.&#10;Co. 2 has 320 of operating expenses in each year.&#10;Co. 2’s income and expenses are treated as taxable income and deductible expenditure under the laws of both Country X and Country Y.&#10;Co. 2’s income and expenditure are recognised in different amounts and in different periods in Country X and Country 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18535" cy="2433320"/>
                    </a:xfrm>
                    <a:prstGeom prst="rect">
                      <a:avLst/>
                    </a:prstGeom>
                  </pic:spPr>
                </pic:pic>
              </a:graphicData>
            </a:graphic>
          </wp:inline>
        </w:drawing>
      </w:r>
    </w:p>
    <w:p w14:paraId="1196C236" w14:textId="77777777" w:rsidR="00DB4B24" w:rsidRDefault="00DB4B24" w:rsidP="00DB4B24">
      <w:bookmarkStart w:id="3" w:name="_Toc468806980"/>
      <w:r>
        <w:t>Typically, the UK would be in the position of Country Y and so this example treats Co. 2 as being in the UK.</w:t>
      </w:r>
    </w:p>
    <w:p w14:paraId="5FA541F2" w14:textId="77777777" w:rsidR="00DB4B24" w:rsidRDefault="00DB4B24" w:rsidP="00DB4B24">
      <w:pPr>
        <w:keepNext/>
        <w:spacing w:before="120"/>
        <w:outlineLvl w:val="1"/>
        <w:rPr>
          <w:rFonts w:cs="Arial"/>
          <w:b/>
          <w:bCs/>
          <w:iCs/>
          <w:sz w:val="32"/>
          <w:szCs w:val="28"/>
        </w:rPr>
      </w:pPr>
      <w:r>
        <w:rPr>
          <w:rFonts w:cs="Arial"/>
          <w:b/>
          <w:bCs/>
          <w:iCs/>
          <w:sz w:val="32"/>
          <w:szCs w:val="28"/>
        </w:rPr>
        <w:t>Background</w:t>
      </w:r>
      <w:bookmarkEnd w:id="3"/>
      <w:r w:rsidRPr="000C2E4A">
        <w:rPr>
          <w:noProof/>
        </w:rPr>
        <w:t xml:space="preserve"> </w:t>
      </w:r>
    </w:p>
    <w:p w14:paraId="61DFC0D2" w14:textId="77777777" w:rsidR="00DB4B24" w:rsidRDefault="00DB4B24" w:rsidP="00DB4B24">
      <w:pPr>
        <w:pStyle w:val="ListParagraph"/>
        <w:numPr>
          <w:ilvl w:val="0"/>
          <w:numId w:val="1"/>
        </w:numPr>
      </w:pPr>
      <w:r>
        <w:t>Co. 1 is resident in Country X and owns all the issued shares in Co.2, which is resident in Country Y (UK).</w:t>
      </w:r>
    </w:p>
    <w:p w14:paraId="5FF5254F" w14:textId="77777777" w:rsidR="00DB4B24" w:rsidRDefault="00DB4B24" w:rsidP="00DB4B24">
      <w:pPr>
        <w:pStyle w:val="ListParagraph"/>
        <w:ind w:left="360"/>
      </w:pPr>
    </w:p>
    <w:p w14:paraId="5AA52C8D" w14:textId="77777777" w:rsidR="00DB4B24" w:rsidRDefault="00DB4B24" w:rsidP="00DB4B24">
      <w:pPr>
        <w:pStyle w:val="ListParagraph"/>
        <w:numPr>
          <w:ilvl w:val="0"/>
          <w:numId w:val="1"/>
        </w:numPr>
      </w:pPr>
      <w:r>
        <w:t>Co. 2 is treated as a taxable person in Country Y (UK) but is not a separate taxable person under the tax law in Country X.</w:t>
      </w:r>
    </w:p>
    <w:p w14:paraId="0DAB09CC" w14:textId="77777777" w:rsidR="00DB4B24" w:rsidRDefault="00DB4B24" w:rsidP="00DB4B24">
      <w:pPr>
        <w:pStyle w:val="ListParagraph"/>
        <w:ind w:left="360"/>
      </w:pPr>
    </w:p>
    <w:p w14:paraId="75A39226" w14:textId="77777777" w:rsidR="00DB4B24" w:rsidRDefault="00DB4B24" w:rsidP="00DB4B24">
      <w:pPr>
        <w:pStyle w:val="ListParagraph"/>
        <w:numPr>
          <w:ilvl w:val="0"/>
          <w:numId w:val="1"/>
        </w:numPr>
      </w:pPr>
      <w:r>
        <w:t>Co. 2’s income or profits are taxable in Country X (as income or profits of Co.1) and in Country Y (UK) (as income or profits of Co. 2).</w:t>
      </w:r>
    </w:p>
    <w:p w14:paraId="1F2AC11B" w14:textId="77777777" w:rsidR="00DB4B24" w:rsidRDefault="00DB4B24" w:rsidP="00DB4B24">
      <w:pPr>
        <w:pStyle w:val="ListParagraph"/>
        <w:ind w:left="360"/>
      </w:pPr>
    </w:p>
    <w:p w14:paraId="463EE1AE" w14:textId="77777777" w:rsidR="00DB4B24" w:rsidRDefault="00DB4B24" w:rsidP="00DB4B24">
      <w:pPr>
        <w:pStyle w:val="ListParagraph"/>
        <w:numPr>
          <w:ilvl w:val="0"/>
          <w:numId w:val="1"/>
        </w:numPr>
      </w:pPr>
      <w:r>
        <w:t xml:space="preserve">Co. 1 has 500 of operating income spread evenly over a two year period. </w:t>
      </w:r>
    </w:p>
    <w:p w14:paraId="7564A4E1" w14:textId="77777777" w:rsidR="00DB4B24" w:rsidRDefault="00DB4B24" w:rsidP="00DB4B24">
      <w:pPr>
        <w:pStyle w:val="ListParagraph"/>
        <w:ind w:left="360"/>
      </w:pPr>
    </w:p>
    <w:p w14:paraId="31162F52" w14:textId="77777777" w:rsidR="00DB4B24" w:rsidRDefault="00DB4B24" w:rsidP="00DB4B24">
      <w:pPr>
        <w:pStyle w:val="ListParagraph"/>
        <w:numPr>
          <w:ilvl w:val="0"/>
          <w:numId w:val="1"/>
        </w:numPr>
      </w:pPr>
      <w:r>
        <w:t>Co. 2 has 500 of operating income over a two year period.</w:t>
      </w:r>
    </w:p>
    <w:p w14:paraId="3B221FB3" w14:textId="77777777" w:rsidR="00DB4B24" w:rsidRDefault="00DB4B24" w:rsidP="00DB4B24">
      <w:pPr>
        <w:pStyle w:val="ListParagraph"/>
        <w:ind w:left="360"/>
      </w:pPr>
    </w:p>
    <w:p w14:paraId="2726F7BC" w14:textId="77777777" w:rsidR="00DB4B24" w:rsidRDefault="00DB4B24" w:rsidP="00DB4B24">
      <w:pPr>
        <w:pStyle w:val="ListParagraph"/>
        <w:numPr>
          <w:ilvl w:val="0"/>
          <w:numId w:val="1"/>
        </w:numPr>
      </w:pPr>
      <w:r>
        <w:t>Co. 2 has 320 of operating expenses in each year.</w:t>
      </w:r>
    </w:p>
    <w:p w14:paraId="1CFABBBE" w14:textId="77777777" w:rsidR="00DB4B24" w:rsidRDefault="00DB4B24" w:rsidP="00DB4B24">
      <w:pPr>
        <w:pStyle w:val="ListParagraph"/>
        <w:ind w:left="360"/>
      </w:pPr>
    </w:p>
    <w:p w14:paraId="5A0136B2" w14:textId="77777777" w:rsidR="00DB4B24" w:rsidRDefault="00DB4B24" w:rsidP="00DB4B24">
      <w:pPr>
        <w:pStyle w:val="ListParagraph"/>
        <w:numPr>
          <w:ilvl w:val="0"/>
          <w:numId w:val="1"/>
        </w:numPr>
      </w:pPr>
      <w:r>
        <w:t>Co. 2’s income and expenses are treated as taxable income and deductible expenditure under the laws of both Country X and Country Y.</w:t>
      </w:r>
    </w:p>
    <w:p w14:paraId="7B9C4039" w14:textId="77777777" w:rsidR="00DB4B24" w:rsidRDefault="00DB4B24" w:rsidP="00DB4B24">
      <w:pPr>
        <w:pStyle w:val="ListParagraph"/>
        <w:ind w:left="360"/>
      </w:pPr>
    </w:p>
    <w:p w14:paraId="3458CAB0" w14:textId="77777777" w:rsidR="00DB4B24" w:rsidRDefault="00DB4B24" w:rsidP="00DB4B24">
      <w:pPr>
        <w:pStyle w:val="ListParagraph"/>
        <w:numPr>
          <w:ilvl w:val="0"/>
          <w:numId w:val="1"/>
        </w:numPr>
      </w:pPr>
      <w:r>
        <w:lastRenderedPageBreak/>
        <w:t>Co. 2’s income and expenditure are recognised in different amounts and in different periods in Country X and Country Y (UK).</w:t>
      </w:r>
    </w:p>
    <w:p w14:paraId="4D647EB4" w14:textId="77777777" w:rsidR="00DB4B24" w:rsidRDefault="00DB4B24" w:rsidP="00DB4B24">
      <w:pPr>
        <w:keepNext/>
        <w:spacing w:before="120"/>
        <w:outlineLvl w:val="2"/>
        <w:rPr>
          <w:rFonts w:cs="Arial"/>
          <w:b/>
          <w:iCs/>
          <w:szCs w:val="26"/>
        </w:rPr>
      </w:pPr>
      <w:bookmarkStart w:id="4" w:name="_Toc468806981"/>
      <w:r>
        <w:rPr>
          <w:rFonts w:cs="Arial"/>
          <w:b/>
          <w:iCs/>
          <w:szCs w:val="26"/>
        </w:rPr>
        <w:t>Under Country X law</w:t>
      </w:r>
      <w:bookmarkEnd w:id="4"/>
    </w:p>
    <w:p w14:paraId="235DA525" w14:textId="77777777" w:rsidR="00DB4B24" w:rsidRDefault="00DB4B24" w:rsidP="00DB4B24">
      <w:pPr>
        <w:spacing w:after="0"/>
      </w:pPr>
      <w:r>
        <w:t xml:space="preserve">Co. 2’s operating income is treated as arising: </w:t>
      </w:r>
    </w:p>
    <w:p w14:paraId="5A95498B" w14:textId="77777777" w:rsidR="00DB4B24" w:rsidRDefault="00DB4B24" w:rsidP="00DB4B24">
      <w:pPr>
        <w:pStyle w:val="ListParagraph"/>
        <w:numPr>
          <w:ilvl w:val="0"/>
          <w:numId w:val="2"/>
        </w:numPr>
        <w:spacing w:after="0"/>
      </w:pPr>
      <w:r>
        <w:t xml:space="preserve">Year 1 100, and </w:t>
      </w:r>
    </w:p>
    <w:p w14:paraId="2C332FD1" w14:textId="77777777" w:rsidR="00DB4B24" w:rsidRDefault="00DB4B24" w:rsidP="00DB4B24">
      <w:pPr>
        <w:pStyle w:val="ListParagraph"/>
        <w:numPr>
          <w:ilvl w:val="0"/>
          <w:numId w:val="2"/>
        </w:numPr>
      </w:pPr>
      <w:r>
        <w:t xml:space="preserve">Year 2 400 </w:t>
      </w:r>
    </w:p>
    <w:p w14:paraId="42BE21FE" w14:textId="77777777" w:rsidR="00DB4B24" w:rsidRDefault="00DB4B24" w:rsidP="00DB4B24">
      <w:pPr>
        <w:spacing w:after="0"/>
      </w:pPr>
      <w:r>
        <w:t>Co. 2’s operating expenses are treated as:</w:t>
      </w:r>
    </w:p>
    <w:p w14:paraId="132AE88A" w14:textId="77777777" w:rsidR="00DB4B24" w:rsidRDefault="00DB4B24" w:rsidP="00DB4B24">
      <w:pPr>
        <w:pStyle w:val="ListParagraph"/>
        <w:numPr>
          <w:ilvl w:val="0"/>
          <w:numId w:val="3"/>
        </w:numPr>
        <w:spacing w:after="0"/>
      </w:pPr>
      <w:r>
        <w:t>Year 1 (220), and</w:t>
      </w:r>
    </w:p>
    <w:p w14:paraId="7027B2BF" w14:textId="77777777" w:rsidR="00DB4B24" w:rsidRDefault="00DB4B24" w:rsidP="00DB4B24">
      <w:pPr>
        <w:pStyle w:val="ListParagraph"/>
        <w:numPr>
          <w:ilvl w:val="0"/>
          <w:numId w:val="3"/>
        </w:numPr>
      </w:pPr>
      <w:r>
        <w:t xml:space="preserve">Year 2 (420) </w:t>
      </w:r>
    </w:p>
    <w:p w14:paraId="3E014791" w14:textId="77777777" w:rsidR="00DB4B24" w:rsidRDefault="00DB4B24" w:rsidP="00DB4B24">
      <w:pPr>
        <w:keepNext/>
        <w:spacing w:before="120"/>
        <w:outlineLvl w:val="2"/>
        <w:rPr>
          <w:rFonts w:cs="Arial"/>
          <w:b/>
          <w:iCs/>
          <w:szCs w:val="26"/>
        </w:rPr>
      </w:pPr>
      <w:bookmarkStart w:id="5" w:name="_Toc468806982"/>
      <w:r>
        <w:rPr>
          <w:rFonts w:cs="Arial"/>
          <w:b/>
          <w:iCs/>
          <w:szCs w:val="26"/>
        </w:rPr>
        <w:t>Under Country Y (UK) law</w:t>
      </w:r>
      <w:bookmarkEnd w:id="5"/>
    </w:p>
    <w:p w14:paraId="52235B05" w14:textId="77777777" w:rsidR="00DB4B24" w:rsidRDefault="00DB4B24" w:rsidP="00DB4B24">
      <w:pPr>
        <w:spacing w:after="0"/>
      </w:pPr>
      <w:r>
        <w:t xml:space="preserve">Co. 2’s operating income is treated as arising: </w:t>
      </w:r>
    </w:p>
    <w:p w14:paraId="3167A463" w14:textId="77777777" w:rsidR="00DB4B24" w:rsidRDefault="00DB4B24" w:rsidP="00DB4B24">
      <w:pPr>
        <w:pStyle w:val="ListParagraph"/>
        <w:numPr>
          <w:ilvl w:val="0"/>
          <w:numId w:val="4"/>
        </w:numPr>
        <w:spacing w:after="0"/>
      </w:pPr>
      <w:r>
        <w:t>Year 1 300</w:t>
      </w:r>
    </w:p>
    <w:p w14:paraId="701A2E12" w14:textId="77777777" w:rsidR="00DB4B24" w:rsidRDefault="00DB4B24" w:rsidP="00DB4B24">
      <w:pPr>
        <w:pStyle w:val="ListParagraph"/>
        <w:numPr>
          <w:ilvl w:val="0"/>
          <w:numId w:val="4"/>
        </w:numPr>
      </w:pPr>
      <w:r>
        <w:t xml:space="preserve">Year 2 200 </w:t>
      </w:r>
    </w:p>
    <w:p w14:paraId="37666D03" w14:textId="77777777" w:rsidR="00DB4B24" w:rsidRDefault="00DB4B24" w:rsidP="00DB4B24">
      <w:pPr>
        <w:spacing w:after="0"/>
      </w:pPr>
      <w:r>
        <w:t>Co. 2’s operating expenses are treated as:</w:t>
      </w:r>
    </w:p>
    <w:p w14:paraId="6F70EB52" w14:textId="77777777" w:rsidR="00DB4B24" w:rsidRDefault="00DB4B24" w:rsidP="00DB4B24">
      <w:pPr>
        <w:pStyle w:val="ListParagraph"/>
        <w:numPr>
          <w:ilvl w:val="0"/>
          <w:numId w:val="5"/>
        </w:numPr>
        <w:spacing w:after="0"/>
      </w:pPr>
      <w:r>
        <w:t>Year 1 (320)</w:t>
      </w:r>
    </w:p>
    <w:p w14:paraId="5A00A3D2" w14:textId="77777777" w:rsidR="00DB4B24" w:rsidRDefault="00DB4B24" w:rsidP="00DB4B24">
      <w:pPr>
        <w:pStyle w:val="ListParagraph"/>
        <w:numPr>
          <w:ilvl w:val="0"/>
          <w:numId w:val="5"/>
        </w:numPr>
      </w:pPr>
      <w:r>
        <w:t xml:space="preserve">Year 2 (320) </w:t>
      </w:r>
    </w:p>
    <w:p w14:paraId="65999304" w14:textId="77777777" w:rsidR="00DB4B24" w:rsidRDefault="00DB4B24" w:rsidP="00DB4B24">
      <w:r>
        <w:t xml:space="preserve">The position for Co. 1 and Co. 2 before any consideration of Chapter 9 is – </w:t>
      </w:r>
    </w:p>
    <w:p w14:paraId="4FA9F797" w14:textId="77777777" w:rsidR="00DB4B24" w:rsidRDefault="00DB4B24" w:rsidP="00DB4B24">
      <w:pPr>
        <w:spacing w:after="160" w:line="259" w:lineRule="auto"/>
      </w:pPr>
      <w:r>
        <w:br w:type="page"/>
      </w:r>
    </w:p>
    <w:p w14:paraId="468C2E5A" w14:textId="77777777" w:rsidR="00DB4B24" w:rsidRPr="00B64553" w:rsidRDefault="00DB4B24" w:rsidP="00DB4B24">
      <w:pPr>
        <w:pStyle w:val="BodyText"/>
        <w:spacing w:after="0"/>
        <w:rPr>
          <w:sz w:val="22"/>
          <w:szCs w:val="22"/>
        </w:rPr>
      </w:pPr>
      <w:r w:rsidRPr="00B64553">
        <w:rPr>
          <w:b/>
          <w:sz w:val="22"/>
          <w:szCs w:val="22"/>
        </w:rPr>
        <w:lastRenderedPageBreak/>
        <w:t>YEAR 1 - Co. 1 (Investor) – Country X</w:t>
      </w:r>
      <w:r>
        <w:rPr>
          <w:b/>
          <w:sz w:val="22"/>
          <w:szCs w:val="22"/>
        </w:rPr>
        <w:t xml:space="preserve">       </w:t>
      </w:r>
      <w:r w:rsidRPr="00B64553">
        <w:rPr>
          <w:b/>
          <w:sz w:val="22"/>
          <w:szCs w:val="22"/>
        </w:rPr>
        <w:t xml:space="preserve">YEAR 1 - Co. 2 (Hybrid entity) – </w:t>
      </w:r>
      <w:r>
        <w:rPr>
          <w:b/>
          <w:sz w:val="22"/>
          <w:szCs w:val="22"/>
        </w:rPr>
        <w:t>UK</w:t>
      </w:r>
    </w:p>
    <w:p w14:paraId="0ADB0C03" w14:textId="77777777" w:rsidR="00DB4B24" w:rsidRPr="00F2543D" w:rsidRDefault="00DB4B24" w:rsidP="00DB4B24">
      <w:pPr>
        <w:pStyle w:val="BodyText"/>
      </w:pPr>
      <w:r>
        <w:rPr>
          <w:b/>
          <w:sz w:val="22"/>
          <w:szCs w:val="22"/>
        </w:rPr>
        <w:t xml:space="preserve">   </w:t>
      </w:r>
    </w:p>
    <w:tbl>
      <w:tblPr>
        <w:tblStyle w:val="TableGrid"/>
        <w:tblW w:w="10627" w:type="dxa"/>
        <w:jc w:val="center"/>
        <w:tblLook w:val="04A0" w:firstRow="1" w:lastRow="0" w:firstColumn="1" w:lastColumn="0" w:noHBand="0" w:noVBand="1"/>
        <w:tblCaption w:val="Year 1 Summary of facts"/>
        <w:tblDescription w:val="Country X taxable income 70. Country Y taxable income 230"/>
      </w:tblPr>
      <w:tblGrid>
        <w:gridCol w:w="3665"/>
        <w:gridCol w:w="1717"/>
        <w:gridCol w:w="3265"/>
        <w:gridCol w:w="1980"/>
      </w:tblGrid>
      <w:tr w:rsidR="00DB4B24" w:rsidRPr="00B64553" w14:paraId="1AAD577F"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1068965A" w14:textId="77777777" w:rsidR="00DB4B24" w:rsidRPr="00B64553" w:rsidRDefault="00DB4B24" w:rsidP="0054295F">
            <w:pPr>
              <w:spacing w:after="0"/>
              <w:jc w:val="center"/>
              <w:rPr>
                <w:b/>
                <w:sz w:val="20"/>
              </w:rPr>
            </w:pPr>
            <w:r w:rsidRPr="00B64553">
              <w:rPr>
                <w:b/>
                <w:sz w:val="20"/>
              </w:rPr>
              <w:t>INCOME</w:t>
            </w:r>
          </w:p>
        </w:tc>
        <w:tc>
          <w:tcPr>
            <w:tcW w:w="1717" w:type="dxa"/>
            <w:tcBorders>
              <w:top w:val="single" w:sz="4" w:space="0" w:color="auto"/>
              <w:left w:val="single" w:sz="4" w:space="0" w:color="auto"/>
              <w:bottom w:val="single" w:sz="4" w:space="0" w:color="auto"/>
              <w:right w:val="single" w:sz="4" w:space="0" w:color="auto"/>
            </w:tcBorders>
            <w:vAlign w:val="center"/>
          </w:tcPr>
          <w:p w14:paraId="175CA435" w14:textId="77777777" w:rsidR="00DB4B24" w:rsidRPr="00B64553" w:rsidRDefault="00DB4B24" w:rsidP="0054295F">
            <w:pPr>
              <w:jc w:val="center"/>
              <w:rPr>
                <w:b/>
                <w:sz w:val="20"/>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581450DB" w14:textId="77777777" w:rsidR="00DB4B24" w:rsidRPr="00B64553" w:rsidRDefault="00DB4B24" w:rsidP="0054295F">
            <w:pPr>
              <w:spacing w:after="0"/>
              <w:jc w:val="center"/>
              <w:rPr>
                <w:b/>
                <w:sz w:val="20"/>
              </w:rPr>
            </w:pPr>
            <w:r w:rsidRPr="00B64553">
              <w:rPr>
                <w:b/>
                <w:sz w:val="20"/>
              </w:rPr>
              <w:t>INCOME</w:t>
            </w:r>
          </w:p>
        </w:tc>
        <w:tc>
          <w:tcPr>
            <w:tcW w:w="1980" w:type="dxa"/>
            <w:tcBorders>
              <w:top w:val="single" w:sz="4" w:space="0" w:color="auto"/>
              <w:left w:val="single" w:sz="4" w:space="0" w:color="auto"/>
              <w:bottom w:val="single" w:sz="4" w:space="0" w:color="auto"/>
              <w:right w:val="single" w:sz="4" w:space="0" w:color="auto"/>
            </w:tcBorders>
            <w:vAlign w:val="center"/>
          </w:tcPr>
          <w:p w14:paraId="1E6EC5F7" w14:textId="77777777" w:rsidR="00DB4B24" w:rsidRPr="00B64553" w:rsidRDefault="00DB4B24" w:rsidP="0054295F">
            <w:pPr>
              <w:jc w:val="center"/>
              <w:rPr>
                <w:b/>
                <w:sz w:val="20"/>
              </w:rPr>
            </w:pPr>
          </w:p>
        </w:tc>
      </w:tr>
      <w:tr w:rsidR="00DB4B24" w:rsidRPr="00B64553" w14:paraId="0B520AFD"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0702508C" w14:textId="77777777" w:rsidR="00DB4B24" w:rsidRPr="00B64553" w:rsidRDefault="00DB4B24" w:rsidP="0054295F">
            <w:pPr>
              <w:rPr>
                <w:sz w:val="22"/>
                <w:szCs w:val="22"/>
              </w:rPr>
            </w:pPr>
            <w:r w:rsidRPr="00B64553">
              <w:rPr>
                <w:sz w:val="22"/>
                <w:szCs w:val="22"/>
              </w:rPr>
              <w:t>Operating income Co. 1</w:t>
            </w:r>
          </w:p>
        </w:tc>
        <w:tc>
          <w:tcPr>
            <w:tcW w:w="1717" w:type="dxa"/>
            <w:tcBorders>
              <w:top w:val="single" w:sz="4" w:space="0" w:color="auto"/>
              <w:left w:val="single" w:sz="4" w:space="0" w:color="auto"/>
              <w:bottom w:val="single" w:sz="4" w:space="0" w:color="auto"/>
              <w:right w:val="single" w:sz="4" w:space="0" w:color="auto"/>
            </w:tcBorders>
            <w:hideMark/>
          </w:tcPr>
          <w:p w14:paraId="7ED8C12E" w14:textId="77777777" w:rsidR="00DB4B24" w:rsidRPr="00B64553" w:rsidRDefault="00DB4B24" w:rsidP="0054295F">
            <w:pPr>
              <w:rPr>
                <w:sz w:val="22"/>
                <w:szCs w:val="22"/>
              </w:rPr>
            </w:pPr>
            <w:r w:rsidRPr="00B64553">
              <w:rPr>
                <w:sz w:val="22"/>
                <w:szCs w:val="22"/>
              </w:rPr>
              <w:t>250</w:t>
            </w:r>
          </w:p>
        </w:tc>
        <w:tc>
          <w:tcPr>
            <w:tcW w:w="3265" w:type="dxa"/>
            <w:tcBorders>
              <w:top w:val="single" w:sz="4" w:space="0" w:color="auto"/>
              <w:left w:val="single" w:sz="4" w:space="0" w:color="auto"/>
              <w:bottom w:val="single" w:sz="4" w:space="0" w:color="auto"/>
              <w:right w:val="single" w:sz="4" w:space="0" w:color="auto"/>
            </w:tcBorders>
            <w:hideMark/>
          </w:tcPr>
          <w:p w14:paraId="5C77F600" w14:textId="77777777" w:rsidR="00DB4B24" w:rsidRPr="00B64553" w:rsidRDefault="00DB4B24" w:rsidP="0054295F">
            <w:pPr>
              <w:rPr>
                <w:sz w:val="22"/>
                <w:szCs w:val="22"/>
              </w:rPr>
            </w:pPr>
            <w:r w:rsidRPr="00B64553">
              <w:rPr>
                <w:sz w:val="22"/>
                <w:szCs w:val="22"/>
              </w:rPr>
              <w:t>Operating income Co. 2</w:t>
            </w:r>
          </w:p>
        </w:tc>
        <w:tc>
          <w:tcPr>
            <w:tcW w:w="1980" w:type="dxa"/>
            <w:tcBorders>
              <w:top w:val="single" w:sz="4" w:space="0" w:color="auto"/>
              <w:left w:val="single" w:sz="4" w:space="0" w:color="auto"/>
              <w:bottom w:val="single" w:sz="4" w:space="0" w:color="auto"/>
              <w:right w:val="single" w:sz="4" w:space="0" w:color="auto"/>
            </w:tcBorders>
            <w:hideMark/>
          </w:tcPr>
          <w:p w14:paraId="0125343F" w14:textId="77777777" w:rsidR="00DB4B24" w:rsidRPr="00B64553" w:rsidRDefault="00DB4B24" w:rsidP="0054295F">
            <w:pPr>
              <w:rPr>
                <w:sz w:val="22"/>
                <w:szCs w:val="22"/>
              </w:rPr>
            </w:pPr>
            <w:r w:rsidRPr="00B64553">
              <w:rPr>
                <w:sz w:val="22"/>
                <w:szCs w:val="22"/>
              </w:rPr>
              <w:t>300</w:t>
            </w:r>
          </w:p>
        </w:tc>
      </w:tr>
      <w:tr w:rsidR="00DB4B24" w:rsidRPr="00B64553" w14:paraId="4BC7C6BF"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657C44EE" w14:textId="77777777" w:rsidR="00DB4B24" w:rsidRPr="00B64553" w:rsidRDefault="00DB4B24" w:rsidP="0054295F">
            <w:pPr>
              <w:rPr>
                <w:sz w:val="22"/>
                <w:szCs w:val="22"/>
              </w:rPr>
            </w:pPr>
            <w:r w:rsidRPr="00B64553">
              <w:rPr>
                <w:sz w:val="22"/>
                <w:szCs w:val="22"/>
              </w:rPr>
              <w:t>Operating income Co. 2</w:t>
            </w:r>
          </w:p>
        </w:tc>
        <w:tc>
          <w:tcPr>
            <w:tcW w:w="1717" w:type="dxa"/>
            <w:tcBorders>
              <w:top w:val="single" w:sz="4" w:space="0" w:color="auto"/>
              <w:left w:val="single" w:sz="4" w:space="0" w:color="auto"/>
              <w:bottom w:val="single" w:sz="4" w:space="0" w:color="auto"/>
              <w:right w:val="single" w:sz="4" w:space="0" w:color="auto"/>
            </w:tcBorders>
            <w:hideMark/>
          </w:tcPr>
          <w:p w14:paraId="6B6D4C91" w14:textId="77777777" w:rsidR="00DB4B24" w:rsidRPr="00B64553" w:rsidRDefault="00DB4B24" w:rsidP="0054295F">
            <w:pPr>
              <w:rPr>
                <w:sz w:val="22"/>
                <w:szCs w:val="22"/>
              </w:rPr>
            </w:pPr>
            <w:r w:rsidRPr="00B64553">
              <w:rPr>
                <w:sz w:val="22"/>
                <w:szCs w:val="22"/>
              </w:rPr>
              <w:t>100</w:t>
            </w:r>
          </w:p>
        </w:tc>
        <w:tc>
          <w:tcPr>
            <w:tcW w:w="3265" w:type="dxa"/>
            <w:tcBorders>
              <w:top w:val="single" w:sz="4" w:space="0" w:color="auto"/>
              <w:left w:val="single" w:sz="4" w:space="0" w:color="auto"/>
              <w:bottom w:val="single" w:sz="4" w:space="0" w:color="auto"/>
              <w:right w:val="single" w:sz="4" w:space="0" w:color="auto"/>
            </w:tcBorders>
          </w:tcPr>
          <w:p w14:paraId="5B1F40A0" w14:textId="77777777" w:rsidR="00DB4B24" w:rsidRPr="00B64553" w:rsidRDefault="00DB4B24" w:rsidP="0054295F">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8FF0DF8" w14:textId="77777777" w:rsidR="00DB4B24" w:rsidRPr="00B64553" w:rsidRDefault="00DB4B24" w:rsidP="0054295F">
            <w:pPr>
              <w:rPr>
                <w:sz w:val="22"/>
                <w:szCs w:val="22"/>
              </w:rPr>
            </w:pPr>
          </w:p>
        </w:tc>
      </w:tr>
      <w:tr w:rsidR="00DB4B24" w:rsidRPr="00B64553" w14:paraId="59CB9F29"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4A207D8E" w14:textId="77777777" w:rsidR="00DB4B24" w:rsidRPr="00B64553" w:rsidRDefault="00DB4B24" w:rsidP="0054295F">
            <w:pPr>
              <w:jc w:val="center"/>
              <w:rPr>
                <w:b/>
                <w:sz w:val="20"/>
              </w:rPr>
            </w:pPr>
            <w:r w:rsidRPr="00B64553">
              <w:rPr>
                <w:b/>
                <w:sz w:val="20"/>
              </w:rPr>
              <w:t>EXPENDITURE</w:t>
            </w:r>
          </w:p>
        </w:tc>
        <w:tc>
          <w:tcPr>
            <w:tcW w:w="1717" w:type="dxa"/>
            <w:tcBorders>
              <w:top w:val="single" w:sz="4" w:space="0" w:color="auto"/>
              <w:left w:val="single" w:sz="4" w:space="0" w:color="auto"/>
              <w:bottom w:val="single" w:sz="4" w:space="0" w:color="auto"/>
              <w:right w:val="single" w:sz="4" w:space="0" w:color="auto"/>
            </w:tcBorders>
            <w:vAlign w:val="center"/>
          </w:tcPr>
          <w:p w14:paraId="5B7D8734" w14:textId="77777777" w:rsidR="00DB4B24" w:rsidRPr="00B64553" w:rsidRDefault="00DB4B24" w:rsidP="0054295F">
            <w:pPr>
              <w:jc w:val="center"/>
              <w:rPr>
                <w:b/>
                <w:sz w:val="20"/>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79B8AED4" w14:textId="77777777" w:rsidR="00DB4B24" w:rsidRPr="00B64553" w:rsidRDefault="00DB4B24" w:rsidP="0054295F">
            <w:pPr>
              <w:jc w:val="center"/>
              <w:rPr>
                <w:b/>
                <w:sz w:val="20"/>
              </w:rPr>
            </w:pPr>
            <w:r w:rsidRPr="00B64553">
              <w:rPr>
                <w:b/>
                <w:sz w:val="20"/>
              </w:rPr>
              <w:t>EXPENDITURE</w:t>
            </w:r>
          </w:p>
        </w:tc>
        <w:tc>
          <w:tcPr>
            <w:tcW w:w="1980" w:type="dxa"/>
            <w:tcBorders>
              <w:top w:val="single" w:sz="4" w:space="0" w:color="auto"/>
              <w:left w:val="single" w:sz="4" w:space="0" w:color="auto"/>
              <w:bottom w:val="single" w:sz="4" w:space="0" w:color="auto"/>
              <w:right w:val="single" w:sz="4" w:space="0" w:color="auto"/>
            </w:tcBorders>
            <w:vAlign w:val="center"/>
          </w:tcPr>
          <w:p w14:paraId="3D17EC28" w14:textId="77777777" w:rsidR="00DB4B24" w:rsidRPr="00B64553" w:rsidRDefault="00DB4B24" w:rsidP="0054295F">
            <w:pPr>
              <w:jc w:val="center"/>
              <w:rPr>
                <w:b/>
                <w:sz w:val="20"/>
              </w:rPr>
            </w:pPr>
          </w:p>
        </w:tc>
      </w:tr>
      <w:tr w:rsidR="00DB4B24" w:rsidRPr="00B64553" w14:paraId="1F282160"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73A5BF8F" w14:textId="77777777" w:rsidR="00DB4B24" w:rsidRPr="00B64553" w:rsidRDefault="00DB4B24" w:rsidP="0054295F">
            <w:pPr>
              <w:rPr>
                <w:sz w:val="22"/>
                <w:szCs w:val="22"/>
              </w:rPr>
            </w:pPr>
            <w:r w:rsidRPr="00B64553">
              <w:rPr>
                <w:sz w:val="22"/>
                <w:szCs w:val="22"/>
              </w:rPr>
              <w:t>Operating expenses Co. 2</w:t>
            </w:r>
          </w:p>
        </w:tc>
        <w:tc>
          <w:tcPr>
            <w:tcW w:w="1717" w:type="dxa"/>
            <w:tcBorders>
              <w:top w:val="single" w:sz="4" w:space="0" w:color="auto"/>
              <w:left w:val="single" w:sz="4" w:space="0" w:color="auto"/>
              <w:bottom w:val="single" w:sz="4" w:space="0" w:color="auto"/>
              <w:right w:val="single" w:sz="4" w:space="0" w:color="auto"/>
            </w:tcBorders>
            <w:hideMark/>
          </w:tcPr>
          <w:p w14:paraId="38B2BEB8" w14:textId="77777777" w:rsidR="00DB4B24" w:rsidRPr="00B64553" w:rsidRDefault="00DB4B24" w:rsidP="0054295F">
            <w:pPr>
              <w:rPr>
                <w:sz w:val="22"/>
                <w:szCs w:val="22"/>
              </w:rPr>
            </w:pPr>
            <w:r w:rsidRPr="00B64553">
              <w:rPr>
                <w:sz w:val="22"/>
                <w:szCs w:val="22"/>
              </w:rPr>
              <w:t>(220)</w:t>
            </w:r>
          </w:p>
        </w:tc>
        <w:tc>
          <w:tcPr>
            <w:tcW w:w="3265" w:type="dxa"/>
            <w:tcBorders>
              <w:top w:val="single" w:sz="4" w:space="0" w:color="auto"/>
              <w:left w:val="single" w:sz="4" w:space="0" w:color="auto"/>
              <w:bottom w:val="single" w:sz="4" w:space="0" w:color="auto"/>
              <w:right w:val="single" w:sz="4" w:space="0" w:color="auto"/>
            </w:tcBorders>
            <w:hideMark/>
          </w:tcPr>
          <w:p w14:paraId="3C4B76BB" w14:textId="77777777" w:rsidR="00DB4B24" w:rsidRPr="00B64553" w:rsidRDefault="00DB4B24" w:rsidP="0054295F">
            <w:pPr>
              <w:rPr>
                <w:sz w:val="22"/>
                <w:szCs w:val="22"/>
              </w:rPr>
            </w:pPr>
            <w:r w:rsidRPr="00B64553">
              <w:rPr>
                <w:sz w:val="22"/>
                <w:szCs w:val="22"/>
              </w:rPr>
              <w:t>Operating expenses Co. 2</w:t>
            </w:r>
          </w:p>
        </w:tc>
        <w:tc>
          <w:tcPr>
            <w:tcW w:w="1980" w:type="dxa"/>
            <w:tcBorders>
              <w:top w:val="single" w:sz="4" w:space="0" w:color="auto"/>
              <w:left w:val="single" w:sz="4" w:space="0" w:color="auto"/>
              <w:bottom w:val="single" w:sz="4" w:space="0" w:color="auto"/>
              <w:right w:val="single" w:sz="4" w:space="0" w:color="auto"/>
            </w:tcBorders>
            <w:hideMark/>
          </w:tcPr>
          <w:p w14:paraId="3616AE43" w14:textId="77777777" w:rsidR="00DB4B24" w:rsidRPr="00B64553" w:rsidRDefault="00DB4B24" w:rsidP="0054295F">
            <w:pPr>
              <w:rPr>
                <w:sz w:val="22"/>
                <w:szCs w:val="22"/>
              </w:rPr>
            </w:pPr>
            <w:r w:rsidRPr="00B64553">
              <w:rPr>
                <w:sz w:val="22"/>
                <w:szCs w:val="22"/>
              </w:rPr>
              <w:t>(320)</w:t>
            </w:r>
          </w:p>
        </w:tc>
      </w:tr>
      <w:tr w:rsidR="00DB4B24" w:rsidRPr="00B64553" w14:paraId="4853109C"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61951BF7" w14:textId="77777777" w:rsidR="00DB4B24" w:rsidRPr="00B64553" w:rsidRDefault="00DB4B24" w:rsidP="0054295F">
            <w:pPr>
              <w:rPr>
                <w:sz w:val="22"/>
                <w:szCs w:val="22"/>
              </w:rPr>
            </w:pPr>
            <w:r w:rsidRPr="00B64553">
              <w:rPr>
                <w:sz w:val="22"/>
                <w:szCs w:val="22"/>
              </w:rPr>
              <w:t>TAXABLE INCOME</w:t>
            </w:r>
          </w:p>
        </w:tc>
        <w:tc>
          <w:tcPr>
            <w:tcW w:w="1717" w:type="dxa"/>
            <w:tcBorders>
              <w:top w:val="single" w:sz="4" w:space="0" w:color="auto"/>
              <w:left w:val="single" w:sz="4" w:space="0" w:color="auto"/>
              <w:bottom w:val="single" w:sz="4" w:space="0" w:color="auto"/>
              <w:right w:val="single" w:sz="4" w:space="0" w:color="auto"/>
            </w:tcBorders>
            <w:hideMark/>
          </w:tcPr>
          <w:p w14:paraId="305EC67F" w14:textId="77777777" w:rsidR="00DB4B24" w:rsidRPr="00B64553" w:rsidRDefault="00DB4B24" w:rsidP="0054295F">
            <w:pPr>
              <w:rPr>
                <w:sz w:val="22"/>
                <w:szCs w:val="22"/>
              </w:rPr>
            </w:pPr>
            <w:r w:rsidRPr="00B64553">
              <w:rPr>
                <w:sz w:val="22"/>
                <w:szCs w:val="22"/>
              </w:rPr>
              <w:t>130</w:t>
            </w:r>
          </w:p>
        </w:tc>
        <w:tc>
          <w:tcPr>
            <w:tcW w:w="3265" w:type="dxa"/>
            <w:tcBorders>
              <w:top w:val="single" w:sz="4" w:space="0" w:color="auto"/>
              <w:left w:val="single" w:sz="4" w:space="0" w:color="auto"/>
              <w:bottom w:val="single" w:sz="4" w:space="0" w:color="auto"/>
              <w:right w:val="single" w:sz="4" w:space="0" w:color="auto"/>
            </w:tcBorders>
            <w:hideMark/>
          </w:tcPr>
          <w:p w14:paraId="3EF1C1F7" w14:textId="77777777" w:rsidR="00DB4B24" w:rsidRPr="00B64553" w:rsidRDefault="00DB4B24" w:rsidP="0054295F">
            <w:pPr>
              <w:rPr>
                <w:sz w:val="22"/>
                <w:szCs w:val="22"/>
              </w:rPr>
            </w:pPr>
            <w:r w:rsidRPr="00B64553">
              <w:rPr>
                <w:sz w:val="22"/>
                <w:szCs w:val="22"/>
              </w:rPr>
              <w:t>TAXABLE INCOME (LOSS)</w:t>
            </w:r>
          </w:p>
        </w:tc>
        <w:tc>
          <w:tcPr>
            <w:tcW w:w="1980" w:type="dxa"/>
            <w:tcBorders>
              <w:top w:val="single" w:sz="4" w:space="0" w:color="auto"/>
              <w:left w:val="single" w:sz="4" w:space="0" w:color="auto"/>
              <w:bottom w:val="single" w:sz="4" w:space="0" w:color="auto"/>
              <w:right w:val="single" w:sz="4" w:space="0" w:color="auto"/>
            </w:tcBorders>
            <w:hideMark/>
          </w:tcPr>
          <w:p w14:paraId="5BAAF3AD" w14:textId="77777777" w:rsidR="00DB4B24" w:rsidRPr="00B64553" w:rsidRDefault="00DB4B24" w:rsidP="0054295F">
            <w:pPr>
              <w:rPr>
                <w:sz w:val="22"/>
                <w:szCs w:val="22"/>
              </w:rPr>
            </w:pPr>
            <w:r w:rsidRPr="00B64553">
              <w:rPr>
                <w:sz w:val="22"/>
                <w:szCs w:val="22"/>
              </w:rPr>
              <w:t>(20)</w:t>
            </w:r>
          </w:p>
        </w:tc>
      </w:tr>
    </w:tbl>
    <w:p w14:paraId="35B10591" w14:textId="77777777" w:rsidR="00DB4B24" w:rsidRDefault="00DB4B24" w:rsidP="00DB4B24"/>
    <w:p w14:paraId="632F5DCC" w14:textId="77777777" w:rsidR="00DB4B24" w:rsidRPr="00B64553" w:rsidRDefault="00DB4B24" w:rsidP="00DB4B24">
      <w:pPr>
        <w:spacing w:after="0"/>
        <w:rPr>
          <w:b/>
          <w:sz w:val="22"/>
          <w:szCs w:val="22"/>
        </w:rPr>
      </w:pPr>
      <w:r w:rsidRPr="00B64553">
        <w:rPr>
          <w:b/>
          <w:sz w:val="22"/>
          <w:szCs w:val="22"/>
        </w:rPr>
        <w:t>YEAR 2 - Co. 1 (Investor) – Country X</w:t>
      </w:r>
      <w:r>
        <w:rPr>
          <w:b/>
          <w:sz w:val="22"/>
          <w:szCs w:val="22"/>
        </w:rPr>
        <w:t xml:space="preserve">         </w:t>
      </w:r>
      <w:r w:rsidRPr="00B64553">
        <w:rPr>
          <w:b/>
          <w:sz w:val="22"/>
          <w:szCs w:val="22"/>
        </w:rPr>
        <w:t>YEAR 2 - Co. 2 (Hybrid entity) – UK</w:t>
      </w:r>
    </w:p>
    <w:p w14:paraId="2B2E37F2" w14:textId="77777777" w:rsidR="00DB4B24" w:rsidRPr="00037567" w:rsidRDefault="00DB4B24" w:rsidP="00DB4B24">
      <w:pPr>
        <w:pStyle w:val="BodyText"/>
      </w:pPr>
    </w:p>
    <w:tbl>
      <w:tblPr>
        <w:tblStyle w:val="TableGrid"/>
        <w:tblW w:w="10627" w:type="dxa"/>
        <w:jc w:val="center"/>
        <w:tblLook w:val="04A0" w:firstRow="1" w:lastRow="0" w:firstColumn="1" w:lastColumn="0" w:noHBand="0" w:noVBand="1"/>
        <w:tblCaption w:val="Year 1 Summary of facts"/>
        <w:tblDescription w:val="Country X taxable income 70. Country Y taxable income 230"/>
      </w:tblPr>
      <w:tblGrid>
        <w:gridCol w:w="3665"/>
        <w:gridCol w:w="1717"/>
        <w:gridCol w:w="3265"/>
        <w:gridCol w:w="1980"/>
      </w:tblGrid>
      <w:tr w:rsidR="00DB4B24" w:rsidRPr="00B64553" w14:paraId="4629E23A"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27251AC7" w14:textId="77777777" w:rsidR="00DB4B24" w:rsidRPr="00B64553" w:rsidRDefault="00DB4B24" w:rsidP="0054295F">
            <w:pPr>
              <w:jc w:val="center"/>
              <w:rPr>
                <w:b/>
                <w:sz w:val="20"/>
              </w:rPr>
            </w:pPr>
            <w:r w:rsidRPr="00B64553">
              <w:rPr>
                <w:b/>
                <w:sz w:val="20"/>
              </w:rPr>
              <w:t>INCOME</w:t>
            </w:r>
          </w:p>
        </w:tc>
        <w:tc>
          <w:tcPr>
            <w:tcW w:w="1717" w:type="dxa"/>
            <w:tcBorders>
              <w:top w:val="single" w:sz="4" w:space="0" w:color="auto"/>
              <w:left w:val="single" w:sz="4" w:space="0" w:color="auto"/>
              <w:bottom w:val="single" w:sz="4" w:space="0" w:color="auto"/>
              <w:right w:val="single" w:sz="4" w:space="0" w:color="auto"/>
            </w:tcBorders>
            <w:vAlign w:val="center"/>
          </w:tcPr>
          <w:p w14:paraId="5581124B" w14:textId="77777777" w:rsidR="00DB4B24" w:rsidRPr="00B64553" w:rsidRDefault="00DB4B24" w:rsidP="0054295F">
            <w:pPr>
              <w:jc w:val="center"/>
              <w:rPr>
                <w:b/>
                <w:sz w:val="20"/>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53A7A475" w14:textId="77777777" w:rsidR="00DB4B24" w:rsidRPr="00B64553" w:rsidRDefault="00DB4B24" w:rsidP="0054295F">
            <w:pPr>
              <w:jc w:val="center"/>
              <w:rPr>
                <w:b/>
                <w:sz w:val="20"/>
              </w:rPr>
            </w:pPr>
            <w:r w:rsidRPr="00B64553">
              <w:rPr>
                <w:b/>
                <w:sz w:val="20"/>
              </w:rPr>
              <w:t>INCOME</w:t>
            </w:r>
          </w:p>
        </w:tc>
        <w:tc>
          <w:tcPr>
            <w:tcW w:w="1980" w:type="dxa"/>
            <w:tcBorders>
              <w:top w:val="single" w:sz="4" w:space="0" w:color="auto"/>
              <w:left w:val="single" w:sz="4" w:space="0" w:color="auto"/>
              <w:bottom w:val="single" w:sz="4" w:space="0" w:color="auto"/>
              <w:right w:val="single" w:sz="4" w:space="0" w:color="auto"/>
            </w:tcBorders>
            <w:vAlign w:val="center"/>
          </w:tcPr>
          <w:p w14:paraId="615CF4D8" w14:textId="77777777" w:rsidR="00DB4B24" w:rsidRPr="00B64553" w:rsidRDefault="00DB4B24" w:rsidP="0054295F">
            <w:pPr>
              <w:jc w:val="center"/>
              <w:rPr>
                <w:b/>
                <w:sz w:val="20"/>
              </w:rPr>
            </w:pPr>
          </w:p>
        </w:tc>
      </w:tr>
      <w:tr w:rsidR="00DB4B24" w:rsidRPr="00B64553" w14:paraId="342793C0"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4FD8AA27" w14:textId="77777777" w:rsidR="00DB4B24" w:rsidRPr="00B64553" w:rsidRDefault="00DB4B24" w:rsidP="0054295F">
            <w:pPr>
              <w:rPr>
                <w:sz w:val="22"/>
                <w:szCs w:val="22"/>
              </w:rPr>
            </w:pPr>
            <w:r w:rsidRPr="00B64553">
              <w:rPr>
                <w:sz w:val="22"/>
                <w:szCs w:val="22"/>
              </w:rPr>
              <w:t>Operating income Co. 1</w:t>
            </w:r>
          </w:p>
        </w:tc>
        <w:tc>
          <w:tcPr>
            <w:tcW w:w="1717" w:type="dxa"/>
            <w:tcBorders>
              <w:top w:val="single" w:sz="4" w:space="0" w:color="auto"/>
              <w:left w:val="single" w:sz="4" w:space="0" w:color="auto"/>
              <w:bottom w:val="single" w:sz="4" w:space="0" w:color="auto"/>
              <w:right w:val="single" w:sz="4" w:space="0" w:color="auto"/>
            </w:tcBorders>
            <w:hideMark/>
          </w:tcPr>
          <w:p w14:paraId="46048743" w14:textId="77777777" w:rsidR="00DB4B24" w:rsidRPr="00B64553" w:rsidRDefault="00DB4B24" w:rsidP="0054295F">
            <w:pPr>
              <w:rPr>
                <w:sz w:val="22"/>
                <w:szCs w:val="22"/>
              </w:rPr>
            </w:pPr>
            <w:r w:rsidRPr="00B64553">
              <w:rPr>
                <w:sz w:val="22"/>
                <w:szCs w:val="22"/>
              </w:rPr>
              <w:t>250</w:t>
            </w:r>
          </w:p>
        </w:tc>
        <w:tc>
          <w:tcPr>
            <w:tcW w:w="3265" w:type="dxa"/>
            <w:tcBorders>
              <w:top w:val="single" w:sz="4" w:space="0" w:color="auto"/>
              <w:left w:val="single" w:sz="4" w:space="0" w:color="auto"/>
              <w:bottom w:val="single" w:sz="4" w:space="0" w:color="auto"/>
              <w:right w:val="single" w:sz="4" w:space="0" w:color="auto"/>
            </w:tcBorders>
            <w:hideMark/>
          </w:tcPr>
          <w:p w14:paraId="36C6012A" w14:textId="77777777" w:rsidR="00DB4B24" w:rsidRPr="00B64553" w:rsidRDefault="00DB4B24" w:rsidP="0054295F">
            <w:pPr>
              <w:rPr>
                <w:sz w:val="22"/>
                <w:szCs w:val="22"/>
              </w:rPr>
            </w:pPr>
            <w:r w:rsidRPr="00B64553">
              <w:rPr>
                <w:sz w:val="22"/>
                <w:szCs w:val="22"/>
              </w:rPr>
              <w:t>Operating income Co. 2</w:t>
            </w:r>
          </w:p>
        </w:tc>
        <w:tc>
          <w:tcPr>
            <w:tcW w:w="1980" w:type="dxa"/>
            <w:tcBorders>
              <w:top w:val="single" w:sz="4" w:space="0" w:color="auto"/>
              <w:left w:val="single" w:sz="4" w:space="0" w:color="auto"/>
              <w:bottom w:val="single" w:sz="4" w:space="0" w:color="auto"/>
              <w:right w:val="single" w:sz="4" w:space="0" w:color="auto"/>
            </w:tcBorders>
            <w:hideMark/>
          </w:tcPr>
          <w:p w14:paraId="65276A58" w14:textId="77777777" w:rsidR="00DB4B24" w:rsidRPr="00B64553" w:rsidRDefault="00DB4B24" w:rsidP="0054295F">
            <w:pPr>
              <w:rPr>
                <w:sz w:val="22"/>
                <w:szCs w:val="22"/>
              </w:rPr>
            </w:pPr>
            <w:r w:rsidRPr="00B64553">
              <w:rPr>
                <w:sz w:val="22"/>
                <w:szCs w:val="22"/>
              </w:rPr>
              <w:t>200</w:t>
            </w:r>
          </w:p>
        </w:tc>
      </w:tr>
      <w:tr w:rsidR="00DB4B24" w:rsidRPr="00B64553" w14:paraId="2EF7657D"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6D5C0829" w14:textId="77777777" w:rsidR="00DB4B24" w:rsidRPr="00B64553" w:rsidRDefault="00DB4B24" w:rsidP="0054295F">
            <w:pPr>
              <w:rPr>
                <w:sz w:val="22"/>
                <w:szCs w:val="22"/>
              </w:rPr>
            </w:pPr>
            <w:r w:rsidRPr="00B64553">
              <w:rPr>
                <w:sz w:val="22"/>
                <w:szCs w:val="22"/>
              </w:rPr>
              <w:t>Operating income Co. 2</w:t>
            </w:r>
          </w:p>
        </w:tc>
        <w:tc>
          <w:tcPr>
            <w:tcW w:w="1717" w:type="dxa"/>
            <w:tcBorders>
              <w:top w:val="single" w:sz="4" w:space="0" w:color="auto"/>
              <w:left w:val="single" w:sz="4" w:space="0" w:color="auto"/>
              <w:bottom w:val="single" w:sz="4" w:space="0" w:color="auto"/>
              <w:right w:val="single" w:sz="4" w:space="0" w:color="auto"/>
            </w:tcBorders>
            <w:hideMark/>
          </w:tcPr>
          <w:p w14:paraId="7EB1FDCF" w14:textId="77777777" w:rsidR="00DB4B24" w:rsidRPr="00B64553" w:rsidRDefault="00DB4B24" w:rsidP="0054295F">
            <w:pPr>
              <w:rPr>
                <w:sz w:val="22"/>
                <w:szCs w:val="22"/>
              </w:rPr>
            </w:pPr>
            <w:r w:rsidRPr="00B64553">
              <w:rPr>
                <w:sz w:val="22"/>
                <w:szCs w:val="22"/>
              </w:rPr>
              <w:t>400</w:t>
            </w:r>
          </w:p>
        </w:tc>
        <w:tc>
          <w:tcPr>
            <w:tcW w:w="3265" w:type="dxa"/>
            <w:tcBorders>
              <w:top w:val="single" w:sz="4" w:space="0" w:color="auto"/>
              <w:left w:val="single" w:sz="4" w:space="0" w:color="auto"/>
              <w:bottom w:val="single" w:sz="4" w:space="0" w:color="auto"/>
              <w:right w:val="single" w:sz="4" w:space="0" w:color="auto"/>
            </w:tcBorders>
          </w:tcPr>
          <w:p w14:paraId="0D62E437" w14:textId="77777777" w:rsidR="00DB4B24" w:rsidRPr="00B64553" w:rsidRDefault="00DB4B24" w:rsidP="0054295F">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5D9C8C1" w14:textId="77777777" w:rsidR="00DB4B24" w:rsidRPr="00B64553" w:rsidRDefault="00DB4B24" w:rsidP="0054295F">
            <w:pPr>
              <w:rPr>
                <w:sz w:val="22"/>
                <w:szCs w:val="22"/>
              </w:rPr>
            </w:pPr>
          </w:p>
        </w:tc>
      </w:tr>
      <w:tr w:rsidR="00DB4B24" w:rsidRPr="00B64553" w14:paraId="47E07E78"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63FD29ED" w14:textId="77777777" w:rsidR="00DB4B24" w:rsidRPr="00B64553" w:rsidRDefault="00DB4B24" w:rsidP="0054295F">
            <w:pPr>
              <w:jc w:val="center"/>
              <w:rPr>
                <w:b/>
                <w:sz w:val="20"/>
              </w:rPr>
            </w:pPr>
            <w:r w:rsidRPr="00B64553">
              <w:rPr>
                <w:b/>
                <w:sz w:val="20"/>
              </w:rPr>
              <w:t>EXPENDITURE</w:t>
            </w:r>
          </w:p>
        </w:tc>
        <w:tc>
          <w:tcPr>
            <w:tcW w:w="1717" w:type="dxa"/>
            <w:tcBorders>
              <w:top w:val="single" w:sz="4" w:space="0" w:color="auto"/>
              <w:left w:val="single" w:sz="4" w:space="0" w:color="auto"/>
              <w:bottom w:val="single" w:sz="4" w:space="0" w:color="auto"/>
              <w:right w:val="single" w:sz="4" w:space="0" w:color="auto"/>
            </w:tcBorders>
            <w:vAlign w:val="center"/>
          </w:tcPr>
          <w:p w14:paraId="023E47D0" w14:textId="77777777" w:rsidR="00DB4B24" w:rsidRPr="00B64553" w:rsidRDefault="00DB4B24" w:rsidP="0054295F">
            <w:pPr>
              <w:jc w:val="center"/>
              <w:rPr>
                <w:b/>
                <w:sz w:val="20"/>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2A559A74" w14:textId="77777777" w:rsidR="00DB4B24" w:rsidRPr="00B64553" w:rsidRDefault="00DB4B24" w:rsidP="0054295F">
            <w:pPr>
              <w:jc w:val="center"/>
              <w:rPr>
                <w:b/>
                <w:sz w:val="20"/>
              </w:rPr>
            </w:pPr>
            <w:r w:rsidRPr="00B64553">
              <w:rPr>
                <w:b/>
                <w:sz w:val="20"/>
              </w:rPr>
              <w:t>EXPENDITURE</w:t>
            </w:r>
          </w:p>
        </w:tc>
        <w:tc>
          <w:tcPr>
            <w:tcW w:w="1980" w:type="dxa"/>
            <w:tcBorders>
              <w:top w:val="single" w:sz="4" w:space="0" w:color="auto"/>
              <w:left w:val="single" w:sz="4" w:space="0" w:color="auto"/>
              <w:bottom w:val="single" w:sz="4" w:space="0" w:color="auto"/>
              <w:right w:val="single" w:sz="4" w:space="0" w:color="auto"/>
            </w:tcBorders>
            <w:vAlign w:val="center"/>
          </w:tcPr>
          <w:p w14:paraId="31132E35" w14:textId="77777777" w:rsidR="00DB4B24" w:rsidRPr="00B64553" w:rsidRDefault="00DB4B24" w:rsidP="0054295F">
            <w:pPr>
              <w:jc w:val="center"/>
              <w:rPr>
                <w:b/>
                <w:sz w:val="20"/>
              </w:rPr>
            </w:pPr>
          </w:p>
        </w:tc>
      </w:tr>
      <w:tr w:rsidR="00DB4B24" w:rsidRPr="00B64553" w14:paraId="3755F280" w14:textId="77777777" w:rsidTr="0054295F">
        <w:trPr>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0A60ABEC" w14:textId="77777777" w:rsidR="00DB4B24" w:rsidRPr="00B64553" w:rsidRDefault="00DB4B24" w:rsidP="0054295F">
            <w:pPr>
              <w:rPr>
                <w:sz w:val="22"/>
                <w:szCs w:val="22"/>
              </w:rPr>
            </w:pPr>
            <w:r w:rsidRPr="00B64553">
              <w:rPr>
                <w:sz w:val="22"/>
                <w:szCs w:val="22"/>
              </w:rPr>
              <w:t>Operating expenses Co. 2</w:t>
            </w:r>
          </w:p>
        </w:tc>
        <w:tc>
          <w:tcPr>
            <w:tcW w:w="1717" w:type="dxa"/>
            <w:tcBorders>
              <w:top w:val="single" w:sz="4" w:space="0" w:color="auto"/>
              <w:left w:val="single" w:sz="4" w:space="0" w:color="auto"/>
              <w:bottom w:val="single" w:sz="4" w:space="0" w:color="auto"/>
              <w:right w:val="single" w:sz="4" w:space="0" w:color="auto"/>
            </w:tcBorders>
            <w:hideMark/>
          </w:tcPr>
          <w:p w14:paraId="39B0268C" w14:textId="77777777" w:rsidR="00DB4B24" w:rsidRPr="00B64553" w:rsidRDefault="00DB4B24" w:rsidP="0054295F">
            <w:pPr>
              <w:rPr>
                <w:sz w:val="22"/>
                <w:szCs w:val="22"/>
              </w:rPr>
            </w:pPr>
            <w:r w:rsidRPr="00B64553">
              <w:rPr>
                <w:sz w:val="22"/>
                <w:szCs w:val="22"/>
              </w:rPr>
              <w:t>(420)</w:t>
            </w:r>
          </w:p>
        </w:tc>
        <w:tc>
          <w:tcPr>
            <w:tcW w:w="3265" w:type="dxa"/>
            <w:tcBorders>
              <w:top w:val="single" w:sz="4" w:space="0" w:color="auto"/>
              <w:left w:val="single" w:sz="4" w:space="0" w:color="auto"/>
              <w:bottom w:val="single" w:sz="4" w:space="0" w:color="auto"/>
              <w:right w:val="single" w:sz="4" w:space="0" w:color="auto"/>
            </w:tcBorders>
            <w:hideMark/>
          </w:tcPr>
          <w:p w14:paraId="35C389F9" w14:textId="77777777" w:rsidR="00DB4B24" w:rsidRPr="00B64553" w:rsidRDefault="00DB4B24" w:rsidP="0054295F">
            <w:pPr>
              <w:rPr>
                <w:sz w:val="22"/>
                <w:szCs w:val="22"/>
              </w:rPr>
            </w:pPr>
            <w:r w:rsidRPr="00B64553">
              <w:rPr>
                <w:sz w:val="22"/>
                <w:szCs w:val="22"/>
              </w:rPr>
              <w:t>Operating expenses Co. 2</w:t>
            </w:r>
          </w:p>
        </w:tc>
        <w:tc>
          <w:tcPr>
            <w:tcW w:w="1980" w:type="dxa"/>
            <w:tcBorders>
              <w:top w:val="single" w:sz="4" w:space="0" w:color="auto"/>
              <w:left w:val="single" w:sz="4" w:space="0" w:color="auto"/>
              <w:bottom w:val="single" w:sz="4" w:space="0" w:color="auto"/>
              <w:right w:val="single" w:sz="4" w:space="0" w:color="auto"/>
            </w:tcBorders>
            <w:hideMark/>
          </w:tcPr>
          <w:p w14:paraId="2990E961" w14:textId="77777777" w:rsidR="00DB4B24" w:rsidRPr="00B64553" w:rsidRDefault="00DB4B24" w:rsidP="0054295F">
            <w:pPr>
              <w:rPr>
                <w:sz w:val="22"/>
                <w:szCs w:val="22"/>
              </w:rPr>
            </w:pPr>
            <w:r w:rsidRPr="00B64553">
              <w:rPr>
                <w:sz w:val="22"/>
                <w:szCs w:val="22"/>
              </w:rPr>
              <w:t>(320)</w:t>
            </w:r>
          </w:p>
        </w:tc>
      </w:tr>
      <w:tr w:rsidR="00DB4B24" w:rsidRPr="00B64553" w14:paraId="52C3445B" w14:textId="77777777" w:rsidTr="0054295F">
        <w:trPr>
          <w:cantSplit/>
          <w:trHeight w:val="227"/>
          <w:jc w:val="center"/>
        </w:trPr>
        <w:tc>
          <w:tcPr>
            <w:tcW w:w="3665" w:type="dxa"/>
            <w:tcBorders>
              <w:top w:val="single" w:sz="4" w:space="0" w:color="auto"/>
              <w:left w:val="single" w:sz="4" w:space="0" w:color="auto"/>
              <w:bottom w:val="single" w:sz="4" w:space="0" w:color="auto"/>
              <w:right w:val="single" w:sz="4" w:space="0" w:color="auto"/>
            </w:tcBorders>
            <w:hideMark/>
          </w:tcPr>
          <w:p w14:paraId="7744DE2E" w14:textId="77777777" w:rsidR="00DB4B24" w:rsidRPr="00B64553" w:rsidRDefault="00DB4B24" w:rsidP="0054295F">
            <w:pPr>
              <w:rPr>
                <w:sz w:val="22"/>
                <w:szCs w:val="22"/>
              </w:rPr>
            </w:pPr>
            <w:r w:rsidRPr="00B64553">
              <w:rPr>
                <w:sz w:val="22"/>
                <w:szCs w:val="22"/>
              </w:rPr>
              <w:t>TAXABLE INCOME</w:t>
            </w:r>
          </w:p>
        </w:tc>
        <w:tc>
          <w:tcPr>
            <w:tcW w:w="1717" w:type="dxa"/>
            <w:tcBorders>
              <w:top w:val="single" w:sz="4" w:space="0" w:color="auto"/>
              <w:left w:val="single" w:sz="4" w:space="0" w:color="auto"/>
              <w:bottom w:val="single" w:sz="4" w:space="0" w:color="auto"/>
              <w:right w:val="single" w:sz="4" w:space="0" w:color="auto"/>
            </w:tcBorders>
            <w:hideMark/>
          </w:tcPr>
          <w:p w14:paraId="280C8811" w14:textId="77777777" w:rsidR="00DB4B24" w:rsidRPr="00B64553" w:rsidRDefault="00DB4B24" w:rsidP="0054295F">
            <w:pPr>
              <w:rPr>
                <w:sz w:val="22"/>
                <w:szCs w:val="22"/>
              </w:rPr>
            </w:pPr>
            <w:r w:rsidRPr="00B64553">
              <w:rPr>
                <w:sz w:val="22"/>
                <w:szCs w:val="22"/>
              </w:rPr>
              <w:t>230</w:t>
            </w:r>
          </w:p>
        </w:tc>
        <w:tc>
          <w:tcPr>
            <w:tcW w:w="3265" w:type="dxa"/>
            <w:tcBorders>
              <w:top w:val="single" w:sz="4" w:space="0" w:color="auto"/>
              <w:left w:val="single" w:sz="4" w:space="0" w:color="auto"/>
              <w:bottom w:val="single" w:sz="4" w:space="0" w:color="auto"/>
              <w:right w:val="single" w:sz="4" w:space="0" w:color="auto"/>
            </w:tcBorders>
            <w:hideMark/>
          </w:tcPr>
          <w:p w14:paraId="03CCC9AC" w14:textId="77777777" w:rsidR="00DB4B24" w:rsidRPr="00B64553" w:rsidRDefault="00DB4B24" w:rsidP="0054295F">
            <w:pPr>
              <w:rPr>
                <w:sz w:val="22"/>
                <w:szCs w:val="22"/>
              </w:rPr>
            </w:pPr>
            <w:r w:rsidRPr="00B64553">
              <w:rPr>
                <w:sz w:val="22"/>
                <w:szCs w:val="22"/>
              </w:rPr>
              <w:t>TAXABLE INCOME (LOSS)</w:t>
            </w:r>
          </w:p>
        </w:tc>
        <w:tc>
          <w:tcPr>
            <w:tcW w:w="1980" w:type="dxa"/>
            <w:tcBorders>
              <w:top w:val="single" w:sz="4" w:space="0" w:color="auto"/>
              <w:left w:val="single" w:sz="4" w:space="0" w:color="auto"/>
              <w:bottom w:val="single" w:sz="4" w:space="0" w:color="auto"/>
              <w:right w:val="single" w:sz="4" w:space="0" w:color="auto"/>
            </w:tcBorders>
            <w:hideMark/>
          </w:tcPr>
          <w:p w14:paraId="626188A0" w14:textId="77777777" w:rsidR="00DB4B24" w:rsidRPr="00B64553" w:rsidRDefault="00DB4B24" w:rsidP="0054295F">
            <w:pPr>
              <w:rPr>
                <w:sz w:val="22"/>
                <w:szCs w:val="22"/>
              </w:rPr>
            </w:pPr>
            <w:r w:rsidRPr="00B64553">
              <w:rPr>
                <w:sz w:val="22"/>
                <w:szCs w:val="22"/>
              </w:rPr>
              <w:t>(120)</w:t>
            </w:r>
          </w:p>
        </w:tc>
      </w:tr>
    </w:tbl>
    <w:p w14:paraId="282235EB" w14:textId="77777777" w:rsidR="00DB4B24" w:rsidRDefault="00DB4B24" w:rsidP="00DB4B24"/>
    <w:p w14:paraId="437B5090" w14:textId="77777777" w:rsidR="00DB4B24" w:rsidRDefault="00DB4B24" w:rsidP="00DB4B24">
      <w:pPr>
        <w:keepNext/>
        <w:spacing w:before="120"/>
        <w:outlineLvl w:val="1"/>
        <w:rPr>
          <w:rFonts w:cs="Arial"/>
          <w:b/>
          <w:bCs/>
          <w:iCs/>
          <w:sz w:val="32"/>
          <w:szCs w:val="28"/>
        </w:rPr>
      </w:pPr>
      <w:bookmarkStart w:id="6" w:name="_Toc468806983"/>
      <w:r>
        <w:rPr>
          <w:rFonts w:cs="Arial"/>
          <w:b/>
          <w:bCs/>
          <w:iCs/>
          <w:sz w:val="32"/>
          <w:szCs w:val="28"/>
        </w:rPr>
        <w:t>Analysis - Applying the tests in s259IA TIOPA 2010</w:t>
      </w:r>
      <w:bookmarkEnd w:id="6"/>
    </w:p>
    <w:p w14:paraId="6CCE7622" w14:textId="77777777" w:rsidR="00DB4B24" w:rsidRDefault="00DB4B24" w:rsidP="00DB4B24">
      <w:r>
        <w:t xml:space="preserve">Does Chapter 9 apply to restrict any hybrid entity double deduction arising under this structure? </w:t>
      </w:r>
    </w:p>
    <w:p w14:paraId="4796DDAD" w14:textId="77777777" w:rsidR="00DB4B24" w:rsidRDefault="00DB4B24" w:rsidP="00DB4B24">
      <w:pPr>
        <w:keepNext/>
        <w:spacing w:before="120"/>
        <w:outlineLvl w:val="2"/>
        <w:rPr>
          <w:rFonts w:cs="Arial"/>
          <w:b/>
          <w:iCs/>
          <w:szCs w:val="26"/>
        </w:rPr>
      </w:pPr>
      <w:bookmarkStart w:id="7" w:name="_Toc468806984"/>
      <w:r>
        <w:rPr>
          <w:rFonts w:cs="Arial"/>
          <w:b/>
          <w:iCs/>
          <w:szCs w:val="26"/>
        </w:rPr>
        <w:t>Condition A: Is it reasonable to suppose an amount could be deducted both from the income of a hybrid entity for a taxable period, and also from the income of an investor for a taxable period?</w:t>
      </w:r>
      <w:bookmarkEnd w:id="7"/>
      <w:r>
        <w:rPr>
          <w:rFonts w:cs="Arial"/>
          <w:b/>
          <w:iCs/>
          <w:szCs w:val="26"/>
        </w:rPr>
        <w:t xml:space="preserve"> </w:t>
      </w:r>
    </w:p>
    <w:p w14:paraId="01C32246" w14:textId="77777777" w:rsidR="00DB4B24" w:rsidRDefault="00DB4B24" w:rsidP="00DB4B24">
      <w:r>
        <w:t xml:space="preserve">Co. 2 is regarded as a separate person for tax purposes under the law of Country Y (UK) but its income and expenses are treated as income and expenses of Co. 1 under Country X’s law. Co. 2 is therefore a hybrid entity. Co.1 is the investor in Co. 2. </w:t>
      </w:r>
    </w:p>
    <w:p w14:paraId="3606848A" w14:textId="77777777" w:rsidR="00DB4B24" w:rsidRDefault="00DB4B24" w:rsidP="00DB4B24">
      <w:pPr>
        <w:spacing w:before="240"/>
      </w:pPr>
      <w:r>
        <w:t xml:space="preserve">It is reasonable to suppose that operating expenses incurred by Co. 2 could be deducted from income of both Co. 2 and Co. 1 for the purposes of calculating their taxable profits. </w:t>
      </w:r>
    </w:p>
    <w:p w14:paraId="331762F3" w14:textId="77777777" w:rsidR="00DB4B24" w:rsidRDefault="00DB4B24" w:rsidP="00DB4B24">
      <w:r>
        <w:t>Condition A is satisfied.</w:t>
      </w:r>
    </w:p>
    <w:p w14:paraId="233BD354" w14:textId="77777777" w:rsidR="00DB4B24" w:rsidRDefault="00DB4B24" w:rsidP="00DB4B24">
      <w:pPr>
        <w:keepNext/>
        <w:spacing w:before="120"/>
        <w:outlineLvl w:val="2"/>
        <w:rPr>
          <w:rFonts w:cs="Arial"/>
          <w:b/>
          <w:iCs/>
          <w:szCs w:val="26"/>
        </w:rPr>
      </w:pPr>
      <w:bookmarkStart w:id="8" w:name="_Toc468806985"/>
      <w:r>
        <w:rPr>
          <w:rFonts w:cs="Arial"/>
          <w:b/>
          <w:iCs/>
          <w:szCs w:val="26"/>
        </w:rPr>
        <w:lastRenderedPageBreak/>
        <w:t>Condition B: Is either Co. 1 (an investor in the hybrid entity) or Co. 2 (the hybrid entity) within the charge to corporation tax for the deduction period?</w:t>
      </w:r>
      <w:bookmarkEnd w:id="8"/>
    </w:p>
    <w:p w14:paraId="49270931" w14:textId="77777777" w:rsidR="00DB4B24" w:rsidRDefault="00DB4B24" w:rsidP="00DB4B24">
      <w:r>
        <w:t>The charge to corporation tax is the charge to the corporation tax in the UK.</w:t>
      </w:r>
    </w:p>
    <w:p w14:paraId="7998882B" w14:textId="77777777" w:rsidR="00DB4B24" w:rsidRPr="00B64553" w:rsidRDefault="00DB4B24" w:rsidP="00DB4B24">
      <w:pPr>
        <w:pStyle w:val="BodyText"/>
      </w:pPr>
      <w:r>
        <w:t>Assuming for this example that Country Y is UK. Condition B is satisfied.</w:t>
      </w:r>
    </w:p>
    <w:p w14:paraId="6BACE4FC" w14:textId="77777777" w:rsidR="00DB4B24" w:rsidRPr="00B64553" w:rsidRDefault="00DB4B24" w:rsidP="00DB4B24">
      <w:pPr>
        <w:rPr>
          <w:i/>
          <w:sz w:val="22"/>
          <w:szCs w:val="22"/>
        </w:rPr>
      </w:pPr>
      <w:r w:rsidRPr="00B64553">
        <w:rPr>
          <w:i/>
          <w:sz w:val="22"/>
          <w:szCs w:val="22"/>
        </w:rPr>
        <w:t>[If the UK was Country X, or both Country X and Country Y (i.e. a wholly domestic transaction), Condition B would be satisfied, as either Co.1 or both Co. 1 and Co. 2 would be within the charge to corporation tax.</w:t>
      </w:r>
    </w:p>
    <w:p w14:paraId="62D9920E" w14:textId="77777777" w:rsidR="00DB4B24" w:rsidRPr="00B64553" w:rsidRDefault="00DB4B24" w:rsidP="00DB4B24">
      <w:pPr>
        <w:rPr>
          <w:i/>
          <w:sz w:val="22"/>
          <w:szCs w:val="22"/>
        </w:rPr>
      </w:pPr>
      <w:r w:rsidRPr="00B64553">
        <w:rPr>
          <w:i/>
          <w:sz w:val="22"/>
          <w:szCs w:val="22"/>
        </w:rPr>
        <w:t>If the UK was neither Country X nor Country Y, then Condition B would not be not satisfied, as neither Co.1 nor Co.2 would be within the charge to corporation tax.  You would then need to consider the remaining conditions only if the imported mismatch rules in Chapter 11 applied.]</w:t>
      </w:r>
    </w:p>
    <w:p w14:paraId="4FC4FC53" w14:textId="77777777" w:rsidR="00DB4B24" w:rsidRDefault="00DB4B24" w:rsidP="00DB4B24">
      <w:pPr>
        <w:pStyle w:val="Heading3"/>
      </w:pPr>
      <w:bookmarkStart w:id="9" w:name="_Toc468806986"/>
      <w:r>
        <w:t>Condition C: Are the hybrid entity and its investor related, or is there a structured arrangement?</w:t>
      </w:r>
      <w:bookmarkEnd w:id="9"/>
    </w:p>
    <w:p w14:paraId="5310E2CE" w14:textId="77777777" w:rsidR="00DB4B24" w:rsidRDefault="00DB4B24" w:rsidP="00DB4B24">
      <w:r>
        <w:t xml:space="preserve">Co. 1 is related to Co. 2 within the definition at s259NC through its 100% investment. </w:t>
      </w:r>
    </w:p>
    <w:p w14:paraId="49D9CCD5" w14:textId="77777777" w:rsidR="00DB4B24" w:rsidRDefault="00DB4B24" w:rsidP="00DB4B24">
      <w:r>
        <w:t xml:space="preserve">Condition C is satisfied. </w:t>
      </w:r>
    </w:p>
    <w:p w14:paraId="4393D29B" w14:textId="77777777" w:rsidR="00DB4B24" w:rsidRDefault="00DB4B24" w:rsidP="00DB4B24">
      <w:pPr>
        <w:keepNext/>
        <w:spacing w:before="120"/>
        <w:outlineLvl w:val="2"/>
        <w:rPr>
          <w:rFonts w:cs="Arial"/>
          <w:b/>
          <w:iCs/>
          <w:szCs w:val="26"/>
        </w:rPr>
      </w:pPr>
      <w:bookmarkStart w:id="10" w:name="_Toc468806987"/>
      <w:r>
        <w:rPr>
          <w:rFonts w:cs="Arial"/>
          <w:b/>
          <w:iCs/>
          <w:szCs w:val="26"/>
        </w:rPr>
        <w:t>Conclusion</w:t>
      </w:r>
      <w:bookmarkEnd w:id="10"/>
    </w:p>
    <w:p w14:paraId="19036C3D" w14:textId="77777777" w:rsidR="00DB4B24" w:rsidRDefault="00DB4B24" w:rsidP="00DB4B24">
      <w:r>
        <w:t xml:space="preserve">As all the conditions are satisfied, the relevant counteraction must be considered in respect of amounts identified as hybrid entity double deductions. </w:t>
      </w:r>
    </w:p>
    <w:p w14:paraId="335C112A" w14:textId="77777777" w:rsidR="00DB4B24" w:rsidRDefault="00DB4B24" w:rsidP="00DB4B24">
      <w:pPr>
        <w:keepNext/>
        <w:spacing w:before="120"/>
        <w:outlineLvl w:val="1"/>
        <w:rPr>
          <w:rFonts w:cs="Arial"/>
          <w:b/>
          <w:bCs/>
          <w:iCs/>
          <w:sz w:val="32"/>
          <w:szCs w:val="28"/>
        </w:rPr>
      </w:pPr>
      <w:bookmarkStart w:id="11" w:name="_Toc468806988"/>
      <w:r>
        <w:rPr>
          <w:rFonts w:cs="Arial"/>
          <w:b/>
          <w:bCs/>
          <w:iCs/>
          <w:sz w:val="32"/>
          <w:szCs w:val="28"/>
        </w:rPr>
        <w:t>Counteraction</w:t>
      </w:r>
      <w:bookmarkEnd w:id="11"/>
      <w:r>
        <w:rPr>
          <w:rFonts w:cs="Arial"/>
          <w:b/>
          <w:bCs/>
          <w:iCs/>
          <w:sz w:val="32"/>
          <w:szCs w:val="28"/>
        </w:rPr>
        <w:t xml:space="preserve"> </w:t>
      </w:r>
    </w:p>
    <w:p w14:paraId="6E0B4A27" w14:textId="77777777" w:rsidR="00DB4B24" w:rsidRDefault="00DB4B24" w:rsidP="00DB4B24">
      <w:r>
        <w:t xml:space="preserve">The counteraction applied depends on whether the UK is in the position of Country X or Country Y.  </w:t>
      </w:r>
    </w:p>
    <w:p w14:paraId="4228A876" w14:textId="77777777" w:rsidR="00DB4B24" w:rsidRDefault="00DB4B24" w:rsidP="00DB4B24">
      <w:pPr>
        <w:keepNext/>
        <w:spacing w:before="120"/>
        <w:outlineLvl w:val="2"/>
        <w:rPr>
          <w:rFonts w:cs="Arial"/>
          <w:b/>
          <w:iCs/>
          <w:szCs w:val="26"/>
        </w:rPr>
      </w:pPr>
      <w:bookmarkStart w:id="12" w:name="_Toc468806991"/>
      <w:r>
        <w:rPr>
          <w:rFonts w:cs="Arial"/>
          <w:b/>
          <w:iCs/>
          <w:szCs w:val="26"/>
        </w:rPr>
        <w:t>Counteraction where the UK is Country Y (the hybrid entity jurisdiction)</w:t>
      </w:r>
      <w:bookmarkEnd w:id="12"/>
    </w:p>
    <w:p w14:paraId="2CD39F18" w14:textId="77777777" w:rsidR="00DB4B24" w:rsidRDefault="00DB4B24" w:rsidP="00DB4B24">
      <w:pPr>
        <w:keepNext/>
        <w:spacing w:before="120"/>
        <w:outlineLvl w:val="3"/>
      </w:pPr>
      <w:bookmarkStart w:id="13" w:name="_Toc468806992"/>
      <w:r>
        <w:rPr>
          <w:rFonts w:cs="Arial"/>
          <w:b/>
          <w:iCs/>
          <w:szCs w:val="28"/>
        </w:rPr>
        <w:t>Secondary Response</w:t>
      </w:r>
      <w:bookmarkEnd w:id="13"/>
    </w:p>
    <w:p w14:paraId="4D8B2898" w14:textId="77777777" w:rsidR="00DB4B24" w:rsidRDefault="00DB4B24" w:rsidP="00DB4B24">
      <w:r>
        <w:t xml:space="preserve">If Country X has fully counteracted the hybrid entity double deduction under provisions equivalent to those at Part 6A, no further action is necessary in the UK.  </w:t>
      </w:r>
    </w:p>
    <w:p w14:paraId="6EA136FE" w14:textId="77777777" w:rsidR="00DB4B24" w:rsidRDefault="00DB4B24" w:rsidP="00DB4B24">
      <w:r>
        <w:t>Where the hybrid entity double deduction amount is not fully counteracted in Country X, or Country X does not have provisions equivalent to those in Part 6A, the UK counteraction is under s259IC. The hybrid entity double deduction amount may only be deducted from dual inclusion income  of the hybrid entity for the hybrid entity deduction period.</w:t>
      </w:r>
    </w:p>
    <w:p w14:paraId="39C79E11" w14:textId="77777777" w:rsidR="00DB4B24" w:rsidRDefault="00DB4B24" w:rsidP="00DB4B24">
      <w:pPr>
        <w:pStyle w:val="BodyText"/>
        <w:rPr>
          <w:b/>
        </w:rPr>
      </w:pPr>
      <w:r>
        <w:rPr>
          <w:b/>
        </w:rPr>
        <w:t>Year 1</w:t>
      </w:r>
    </w:p>
    <w:p w14:paraId="3A07CC51" w14:textId="77777777" w:rsidR="00DB4B24" w:rsidRDefault="00DB4B24" w:rsidP="00DB4B24">
      <w:pPr>
        <w:pStyle w:val="BodyText"/>
      </w:pPr>
      <w:r>
        <w:t xml:space="preserve">In this example it is assumed that Country X has no provisions equivalent to those under Part 6A.  </w:t>
      </w:r>
    </w:p>
    <w:p w14:paraId="5836069B" w14:textId="77777777" w:rsidR="00DB4B24" w:rsidRDefault="00DB4B24" w:rsidP="00DB4B24">
      <w:pPr>
        <w:pStyle w:val="BodyText"/>
      </w:pPr>
      <w:r>
        <w:t>Expenses paid in Year 1 by the hybrid entity 320.</w:t>
      </w:r>
    </w:p>
    <w:p w14:paraId="2BA85794" w14:textId="77777777" w:rsidR="00DB4B24" w:rsidRDefault="00DB4B24" w:rsidP="00DB4B24">
      <w:pPr>
        <w:pStyle w:val="BodyText"/>
      </w:pPr>
      <w:r>
        <w:lastRenderedPageBreak/>
        <w:t>The 320 is an amount or part of an amount that –</w:t>
      </w:r>
    </w:p>
    <w:p w14:paraId="7434987D" w14:textId="77777777" w:rsidR="00DB4B24" w:rsidRDefault="00DB4B24" w:rsidP="00DB4B24">
      <w:pPr>
        <w:pStyle w:val="BodyText"/>
        <w:numPr>
          <w:ilvl w:val="0"/>
          <w:numId w:val="6"/>
        </w:numPr>
      </w:pPr>
      <w:r>
        <w:t>could be deducted from the income of the hybrid entity for the purposes of calculating the taxable profits of that entity for a taxable period, and</w:t>
      </w:r>
    </w:p>
    <w:p w14:paraId="20CAD771" w14:textId="77777777" w:rsidR="00DB4B24" w:rsidRDefault="00DB4B24" w:rsidP="00DB4B24">
      <w:pPr>
        <w:pStyle w:val="BodyText"/>
        <w:numPr>
          <w:ilvl w:val="0"/>
          <w:numId w:val="6"/>
        </w:numPr>
      </w:pPr>
      <w:r>
        <w:t>could also be deducted, under the law of the investor jurisdiction, from the income of an investor in the hybrid entity for the purposes of calculating the taxable profits of that investor for a taxable period.</w:t>
      </w:r>
    </w:p>
    <w:p w14:paraId="20B7D069" w14:textId="77777777" w:rsidR="00DB4B24" w:rsidRDefault="00DB4B24" w:rsidP="00DB4B24">
      <w:r>
        <w:t>The fact that part of the amount is deducted in one taxable period and another part of the amount may be deducted in another taxable period in Co.1 does not prevent identification and counteraction of the double deduction amount.</w:t>
      </w:r>
    </w:p>
    <w:p w14:paraId="46C31520" w14:textId="77777777" w:rsidR="00DB4B24" w:rsidRDefault="00DB4B24" w:rsidP="00DB4B24">
      <w:pPr>
        <w:pStyle w:val="BodyText"/>
      </w:pPr>
      <w:r>
        <w:t>Consequently, the hybrid entity double deduction amount is 320.</w:t>
      </w:r>
    </w:p>
    <w:p w14:paraId="450E4351" w14:textId="77777777" w:rsidR="00DB4B24" w:rsidRDefault="00DB4B24" w:rsidP="00DB4B24">
      <w:pPr>
        <w:spacing w:after="0"/>
      </w:pPr>
      <w:r>
        <w:t>Dual inclusion income of the hybrid entity for an accounting period is defined at s259IC(10) as an amount that is ordinary income of both -</w:t>
      </w:r>
    </w:p>
    <w:p w14:paraId="4F395A55" w14:textId="77777777" w:rsidR="00DB4B24" w:rsidRDefault="00DB4B24" w:rsidP="00DB4B24">
      <w:pPr>
        <w:numPr>
          <w:ilvl w:val="0"/>
          <w:numId w:val="7"/>
        </w:numPr>
        <w:spacing w:after="0"/>
      </w:pPr>
      <w:r>
        <w:t>the hybrid entity for that accounting period for corporation tax purposes, and</w:t>
      </w:r>
    </w:p>
    <w:p w14:paraId="664B5BE6" w14:textId="77777777" w:rsidR="00DB4B24" w:rsidRDefault="00DB4B24" w:rsidP="00DB4B24">
      <w:pPr>
        <w:numPr>
          <w:ilvl w:val="0"/>
          <w:numId w:val="7"/>
        </w:numPr>
      </w:pPr>
      <w:r>
        <w:t>the investor for a permitted taxable period under the law of the investor jurisdiction.</w:t>
      </w:r>
    </w:p>
    <w:p w14:paraId="74116B68" w14:textId="77777777" w:rsidR="00DB4B24" w:rsidRPr="008F07AE" w:rsidRDefault="00DB4B24" w:rsidP="00DB4B24">
      <w:pPr>
        <w:pStyle w:val="BodyText"/>
      </w:pPr>
      <w:r>
        <w:t>(see also the introduction of Deemed Dual Inclusion income in s259ICA)</w:t>
      </w:r>
    </w:p>
    <w:p w14:paraId="5B52615A" w14:textId="77777777" w:rsidR="00DB4B24" w:rsidRDefault="00DB4B24" w:rsidP="00DB4B24">
      <w:r>
        <w:t>A taxable period of the investor is permitted where it begins within 12 months of the end of the hybrid entity’s accounting period (or later in certain circumstances, on a claim).</w:t>
      </w:r>
    </w:p>
    <w:p w14:paraId="026D9B2E" w14:textId="77777777" w:rsidR="00DB4B24" w:rsidRDefault="00DB4B24" w:rsidP="00DB4B24">
      <w:r>
        <w:t xml:space="preserve">In Year 1 there is an amount of 300 included in ordinary income of Co. 2 in the accounting period that is also included in ordinary income of Co. 1 in a permitted period. Co. 1 includes 100 operating income of Co.2 in Year 1 and 400 operating income of Co. 2 in Year 2. The 300 ordinary income of Co. 2 in Year 1 is therefore included to the extent that 100 is regarded by Co. 1 in Year 1 and to the extent that 200 is regarded by Co. 1 in Year 2. </w:t>
      </w:r>
    </w:p>
    <w:p w14:paraId="41E6F340" w14:textId="77777777" w:rsidR="00DB4B24" w:rsidRDefault="00DB4B24" w:rsidP="00DB4B24">
      <w:r>
        <w:t xml:space="preserve">Dual inclusion income is 300 in Year 1. </w:t>
      </w:r>
    </w:p>
    <w:p w14:paraId="540EB94A" w14:textId="77777777" w:rsidR="00DB4B24" w:rsidRDefault="00DB4B24" w:rsidP="00DB4B24">
      <w:pPr>
        <w:rPr>
          <w:color w:val="FF0000"/>
        </w:rPr>
      </w:pPr>
      <w:r>
        <w:t>The restricted deduction is 320, that is the hybrid entity double deduction amount. There is a counteraction in respect of the full hybrid entity double deduction amount of 320, however 300 of the counteracted amount may be deducted from dual inclusion income for that period.</w:t>
      </w:r>
      <w:r>
        <w:rPr>
          <w:color w:val="FF0000"/>
        </w:rPr>
        <w:t xml:space="preserve"> </w:t>
      </w:r>
    </w:p>
    <w:p w14:paraId="53E730F6" w14:textId="77777777" w:rsidR="00DB4B24" w:rsidRDefault="00DB4B24" w:rsidP="00DB4B24">
      <w:pPr>
        <w:pStyle w:val="BodyText"/>
      </w:pPr>
      <w:r>
        <w:rPr>
          <w:b/>
        </w:rPr>
        <w:t>Illegitimate Overseas Deduction in Year 1</w:t>
      </w:r>
    </w:p>
    <w:p w14:paraId="674E287A" w14:textId="77777777" w:rsidR="00DB4B24" w:rsidRDefault="00DB4B24" w:rsidP="00DB4B24">
      <w:r>
        <w:t xml:space="preserve">We must then consider whether the remaining 20 is an “illegitimate overseas deduction” as defined at s259IC(8). </w:t>
      </w:r>
    </w:p>
    <w:p w14:paraId="3C73CBBA" w14:textId="77777777" w:rsidR="00DB4B24" w:rsidRDefault="00DB4B24" w:rsidP="00DB4B24">
      <w:pPr>
        <w:pStyle w:val="BodyText"/>
      </w:pPr>
      <w:r>
        <w:t>Co. 1 has operating income of 250 in Year 1, which is not dual inclusion income, and against which 20 of the hybrid entity double deduction amount is deducted under the law of Country X. The remaining 20 is therefore an “illegitimate overseas deduction” and so it is taken to have already been deducted for a previous accounting period of the hybrid entity and is not carried forward.</w:t>
      </w:r>
    </w:p>
    <w:p w14:paraId="415B7EA1" w14:textId="77777777" w:rsidR="00DB4B24" w:rsidRDefault="00DB4B24" w:rsidP="00DB4B24">
      <w:pPr>
        <w:pStyle w:val="BodyText"/>
      </w:pPr>
      <w:r>
        <w:lastRenderedPageBreak/>
        <w:t xml:space="preserve">However following the change in legislation in Finance Bill 2021, as the amount is deducted against the income of the investor in the hybrid entity, the 20 will not be an illegitimate overseas deduction for periods beginning after 10 June 2021 (the date of Royal Assent of the Finance Bill).  </w:t>
      </w:r>
    </w:p>
    <w:p w14:paraId="6E15BB14" w14:textId="77777777" w:rsidR="00DB4B24" w:rsidRDefault="00DB4B24" w:rsidP="00DB4B24">
      <w:pPr>
        <w:pStyle w:val="BodyText"/>
        <w:rPr>
          <w:b/>
        </w:rPr>
      </w:pPr>
      <w:r>
        <w:rPr>
          <w:b/>
        </w:rPr>
        <w:t>Year 2</w:t>
      </w:r>
    </w:p>
    <w:p w14:paraId="52B6F13D" w14:textId="77777777" w:rsidR="00DB4B24" w:rsidRDefault="00DB4B24" w:rsidP="00DB4B24">
      <w:pPr>
        <w:pStyle w:val="BodyText"/>
      </w:pPr>
      <w:r>
        <w:t xml:space="preserve">The hybrid entity double deduction amount is 320. </w:t>
      </w:r>
    </w:p>
    <w:p w14:paraId="4F519E7B" w14:textId="77777777" w:rsidR="00DB4B24" w:rsidRDefault="00DB4B24" w:rsidP="00DB4B24">
      <w:r>
        <w:t xml:space="preserve">In Year 2, there is 200 included in ordinary income of Co.2 in the accounting period that is also ordinary income of Co. 1 in a permitted period (200 of the ordinary income of 400 of Co. 2 as regarded by Co.1 in Year 2 has already been accounted for as dual inclusion income within the permitted period for Year 1).  There may be further dual inclusion income in Year 3 that would be within the permitted period, but there is nothing to suggest that is the case from the figures presented. </w:t>
      </w:r>
    </w:p>
    <w:p w14:paraId="0939AF0D" w14:textId="77777777" w:rsidR="00DB4B24" w:rsidRDefault="00DB4B24" w:rsidP="00DB4B24">
      <w:r>
        <w:t>Dual inclusion income is 200 in Year 2.</w:t>
      </w:r>
    </w:p>
    <w:p w14:paraId="04FD3B73" w14:textId="77777777" w:rsidR="00DB4B24" w:rsidRDefault="00DB4B24" w:rsidP="00DB4B24">
      <w:r>
        <w:t>The restricted deduction is 320 (= hybrid entity double deduction amount). There is a counteraction in respect of the full hybrid entity double deduction amount of 320, however, 200 may be deducted from dual inclusion income for that period.</w:t>
      </w:r>
    </w:p>
    <w:p w14:paraId="01DE6753" w14:textId="77777777" w:rsidR="00DB4B24" w:rsidRDefault="00DB4B24" w:rsidP="00DB4B24">
      <w:pPr>
        <w:pStyle w:val="BodyText"/>
        <w:rPr>
          <w:b/>
        </w:rPr>
      </w:pPr>
      <w:bookmarkStart w:id="14" w:name="_Hlk47889547"/>
      <w:r>
        <w:rPr>
          <w:b/>
        </w:rPr>
        <w:t>Illegitimate Overseas Deduction in Year 2</w:t>
      </w:r>
    </w:p>
    <w:bookmarkEnd w:id="14"/>
    <w:p w14:paraId="4C2E85A3" w14:textId="77777777" w:rsidR="00DB4B24" w:rsidRDefault="00DB4B24" w:rsidP="00DB4B24">
      <w:r>
        <w:t xml:space="preserve">We must then determine whether the excess hybrid entity double deduction amount of 120 (calculated as the total of 320 - less the amount of 200 set against the dual inclusion income) is available to carry forward by Co. 2. </w:t>
      </w:r>
    </w:p>
    <w:p w14:paraId="2FC997AF" w14:textId="77777777" w:rsidR="00DB4B24" w:rsidRDefault="00DB4B24" w:rsidP="00DB4B24">
      <w:pPr>
        <w:pStyle w:val="BodyText"/>
      </w:pPr>
      <w:r>
        <w:t>Co. 1 has operating income of 250 in Year 2, which is not dual inclusion income, and against which the remaining 120 of the hybrid entity double deduction amount is deducted under the law of Country X. The remaining 120 is therefore an “illegitimate overseas deduction” and so it is taken to have already been deducted for a previous accounting period of the hybrid entity and is not carried forward.</w:t>
      </w:r>
    </w:p>
    <w:bookmarkEnd w:id="0"/>
    <w:p w14:paraId="63CCDA68" w14:textId="77777777" w:rsidR="00DB4B24" w:rsidRDefault="00DB4B24" w:rsidP="00DB4B24">
      <w:pPr>
        <w:pStyle w:val="BodyText"/>
      </w:pPr>
      <w:r>
        <w:t xml:space="preserve">Again though following the amendment in Finance Bill 2021, as the amount is deducted against the income of the investor in the hybrid entity, the 120 will not be an illegitimate overseas deduction for periods beginning after 10 June 2021 (the date of Royal Assent of the Finance Bill).  </w:t>
      </w:r>
    </w:p>
    <w:bookmarkStart w:id="15" w:name="_Hlk90048850"/>
    <w:bookmarkStart w:id="16" w:name="_Hlk90049141"/>
    <w:bookmarkEnd w:id="1"/>
    <w:bookmarkEnd w:id="2"/>
    <w:p w14:paraId="30922622" w14:textId="77777777" w:rsidR="00067D24" w:rsidRDefault="00067D24" w:rsidP="00067D24">
      <w:r>
        <w:fldChar w:fldCharType="begin"/>
      </w:r>
      <w:r>
        <w:instrText>HYPERLINK "https://www.gov.uk/hmrc-internal-manuals/international-manual/intm550000"</w:instrText>
      </w:r>
      <w:r>
        <w:fldChar w:fldCharType="separate"/>
      </w:r>
      <w:r>
        <w:rPr>
          <w:rStyle w:val="Hyperlink"/>
        </w:rPr>
        <w:t>Return to contents</w:t>
      </w:r>
      <w:r>
        <w:fldChar w:fldCharType="end"/>
      </w:r>
      <w:bookmarkEnd w:id="15"/>
      <w:r>
        <w:t xml:space="preserve"> </w:t>
      </w:r>
      <w:bookmarkEnd w:id="16"/>
    </w:p>
    <w:p w14:paraId="6C370D88" w14:textId="77777777" w:rsidR="00714BF2" w:rsidRDefault="008A2D85" w:rsidP="00DB4B24">
      <w:pPr>
        <w:spacing w:after="160" w:line="259" w:lineRule="auto"/>
      </w:pPr>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56D49" w14:textId="77777777" w:rsidR="008A2D85" w:rsidRDefault="008A2D85" w:rsidP="00DB4B24">
      <w:pPr>
        <w:spacing w:after="0"/>
      </w:pPr>
      <w:r>
        <w:separator/>
      </w:r>
    </w:p>
  </w:endnote>
  <w:endnote w:type="continuationSeparator" w:id="0">
    <w:p w14:paraId="386C3D08" w14:textId="77777777" w:rsidR="008A2D85" w:rsidRDefault="008A2D85" w:rsidP="00DB4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18E4" w14:textId="77777777" w:rsidR="00067D24" w:rsidRDefault="0006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FCBA4" w14:textId="0E399DDE" w:rsidR="00DB4B24" w:rsidRDefault="00DB4B24">
    <w:pPr>
      <w:pStyle w:val="Footer"/>
    </w:pPr>
    <w:r>
      <w:rPr>
        <w:noProof/>
      </w:rPr>
      <mc:AlternateContent>
        <mc:Choice Requires="wps">
          <w:drawing>
            <wp:anchor distT="0" distB="0" distL="114300" distR="114300" simplePos="0" relativeHeight="251659264" behindDoc="0" locked="0" layoutInCell="0" allowOverlap="1" wp14:anchorId="5369F330" wp14:editId="62546DD0">
              <wp:simplePos x="0" y="0"/>
              <wp:positionH relativeFrom="page">
                <wp:posOffset>0</wp:posOffset>
              </wp:positionH>
              <wp:positionV relativeFrom="page">
                <wp:posOffset>10227945</wp:posOffset>
              </wp:positionV>
              <wp:extent cx="7560310" cy="273050"/>
              <wp:effectExtent l="0" t="0" r="0" b="12700"/>
              <wp:wrapNone/>
              <wp:docPr id="2" name="MSIPCM56134aa3806156f149bf7ca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69F57" w14:textId="7139E18C" w:rsidR="00DB4B24" w:rsidRPr="00DB4B24" w:rsidRDefault="00DB4B24" w:rsidP="00DB4B24">
                          <w:pPr>
                            <w:spacing w:after="0"/>
                            <w:jc w:val="center"/>
                            <w:rPr>
                              <w:rFonts w:ascii="Calibri" w:hAnsi="Calibri" w:cs="Calibri"/>
                              <w:color w:val="000000"/>
                              <w:sz w:val="20"/>
                            </w:rPr>
                          </w:pPr>
                          <w:r w:rsidRPr="00DB4B2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69F330" id="_x0000_t202" coordsize="21600,21600" o:spt="202" path="m,l,21600r21600,l21600,xe">
              <v:stroke joinstyle="miter"/>
              <v:path gradientshapeok="t" o:connecttype="rect"/>
            </v:shapetype>
            <v:shape id="MSIPCM56134aa3806156f149bf7ca3"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PkAv/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43769F57" w14:textId="7139E18C" w:rsidR="00DB4B24" w:rsidRPr="00DB4B24" w:rsidRDefault="00DB4B24" w:rsidP="00DB4B24">
                    <w:pPr>
                      <w:spacing w:after="0"/>
                      <w:jc w:val="center"/>
                      <w:rPr>
                        <w:rFonts w:ascii="Calibri" w:hAnsi="Calibri" w:cs="Calibri"/>
                        <w:color w:val="000000"/>
                        <w:sz w:val="20"/>
                      </w:rPr>
                    </w:pPr>
                    <w:r w:rsidRPr="00DB4B2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95BA" w14:textId="77777777" w:rsidR="00067D24" w:rsidRDefault="0006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BDCE7" w14:textId="77777777" w:rsidR="008A2D85" w:rsidRDefault="008A2D85" w:rsidP="00DB4B24">
      <w:pPr>
        <w:spacing w:after="0"/>
      </w:pPr>
      <w:r>
        <w:separator/>
      </w:r>
    </w:p>
  </w:footnote>
  <w:footnote w:type="continuationSeparator" w:id="0">
    <w:p w14:paraId="46800EE1" w14:textId="77777777" w:rsidR="008A2D85" w:rsidRDefault="008A2D85" w:rsidP="00DB4B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5BE5" w14:textId="77777777" w:rsidR="00067D24" w:rsidRDefault="00067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C28C" w14:textId="77777777" w:rsidR="00067D24" w:rsidRDefault="00067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21C1C" w14:textId="77777777" w:rsidR="00067D24" w:rsidRDefault="00067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408FF"/>
    <w:multiLevelType w:val="hybridMultilevel"/>
    <w:tmpl w:val="7A208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B53B5"/>
    <w:multiLevelType w:val="hybridMultilevel"/>
    <w:tmpl w:val="8EB40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D534C3"/>
    <w:multiLevelType w:val="hybridMultilevel"/>
    <w:tmpl w:val="CD8AC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C06AB5"/>
    <w:multiLevelType w:val="hybridMultilevel"/>
    <w:tmpl w:val="F3467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E27D78"/>
    <w:multiLevelType w:val="hybridMultilevel"/>
    <w:tmpl w:val="6344C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3840BA"/>
    <w:multiLevelType w:val="hybridMultilevel"/>
    <w:tmpl w:val="D9F08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C31E29"/>
    <w:multiLevelType w:val="hybridMultilevel"/>
    <w:tmpl w:val="64C8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24"/>
    <w:rsid w:val="00067D24"/>
    <w:rsid w:val="001F0F8E"/>
    <w:rsid w:val="007F5080"/>
    <w:rsid w:val="008A2D85"/>
    <w:rsid w:val="00DB4B24"/>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B7952"/>
  <w15:chartTrackingRefBased/>
  <w15:docId w15:val="{60FEFABC-307B-40B4-95AF-48BDF1BC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DB4B24"/>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DB4B24"/>
    <w:pPr>
      <w:keepNext/>
      <w:keepLines/>
      <w:outlineLvl w:val="0"/>
    </w:pPr>
    <w:rPr>
      <w:rFonts w:cs="Arial"/>
      <w:b/>
      <w:bCs/>
      <w:kern w:val="28"/>
      <w:sz w:val="40"/>
      <w:szCs w:val="32"/>
    </w:rPr>
  </w:style>
  <w:style w:type="paragraph" w:styleId="Heading2">
    <w:name w:val="heading 2"/>
    <w:basedOn w:val="Normal"/>
    <w:next w:val="Normal"/>
    <w:link w:val="Heading2Char"/>
    <w:uiPriority w:val="9"/>
    <w:semiHidden/>
    <w:unhideWhenUsed/>
    <w:qFormat/>
    <w:rsid w:val="00DB4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uiPriority w:val="9"/>
    <w:qFormat/>
    <w:rsid w:val="00DB4B24"/>
    <w:pPr>
      <w:keepLines w:val="0"/>
      <w:spacing w:before="120" w:after="240"/>
      <w:outlineLvl w:val="2"/>
    </w:pPr>
    <w:rPr>
      <w:rFonts w:ascii="Arial" w:eastAsia="Times New Roman" w:hAnsi="Arial" w:cs="Arial"/>
      <w:b/>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24"/>
    <w:rPr>
      <w:rFonts w:ascii="Arial" w:eastAsia="Times New Roman" w:hAnsi="Arial" w:cs="Arial"/>
      <w:b/>
      <w:bCs/>
      <w:kern w:val="28"/>
      <w:sz w:val="40"/>
      <w:szCs w:val="32"/>
      <w:lang w:eastAsia="en-GB"/>
    </w:rPr>
  </w:style>
  <w:style w:type="character" w:customStyle="1" w:styleId="Heading3Char">
    <w:name w:val="Heading 3 Char"/>
    <w:basedOn w:val="DefaultParagraphFont"/>
    <w:link w:val="Heading3"/>
    <w:uiPriority w:val="9"/>
    <w:rsid w:val="00DB4B24"/>
    <w:rPr>
      <w:rFonts w:ascii="Arial" w:eastAsia="Times New Roman" w:hAnsi="Arial" w:cs="Arial"/>
      <w:b/>
      <w:iCs/>
      <w:sz w:val="24"/>
      <w:szCs w:val="26"/>
      <w:lang w:eastAsia="en-GB"/>
    </w:rPr>
  </w:style>
  <w:style w:type="paragraph" w:styleId="BodyText">
    <w:name w:val="Body Text"/>
    <w:basedOn w:val="Normal"/>
    <w:link w:val="BodyTextChar"/>
    <w:rsid w:val="00DB4B24"/>
  </w:style>
  <w:style w:type="character" w:customStyle="1" w:styleId="BodyTextChar">
    <w:name w:val="Body Text Char"/>
    <w:basedOn w:val="DefaultParagraphFont"/>
    <w:link w:val="BodyText"/>
    <w:rsid w:val="00DB4B24"/>
    <w:rPr>
      <w:rFonts w:ascii="Arial" w:eastAsia="Times New Roman" w:hAnsi="Arial" w:cs="Times New Roman"/>
      <w:sz w:val="24"/>
      <w:szCs w:val="20"/>
      <w:lang w:eastAsia="en-GB"/>
    </w:rPr>
  </w:style>
  <w:style w:type="character" w:styleId="Hyperlink">
    <w:name w:val="Hyperlink"/>
    <w:uiPriority w:val="99"/>
    <w:rsid w:val="00DB4B24"/>
    <w:rPr>
      <w:rFonts w:ascii="Arial" w:hAnsi="Arial"/>
      <w:color w:val="0000FF"/>
      <w:sz w:val="24"/>
      <w:u w:val="single"/>
    </w:rPr>
  </w:style>
  <w:style w:type="table" w:styleId="TableGrid">
    <w:name w:val="Table Grid"/>
    <w:basedOn w:val="TableNormal"/>
    <w:uiPriority w:val="39"/>
    <w:rsid w:val="00DB4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B24"/>
    <w:pPr>
      <w:ind w:left="720"/>
      <w:contextualSpacing/>
    </w:pPr>
  </w:style>
  <w:style w:type="character" w:customStyle="1" w:styleId="Heading2Char">
    <w:name w:val="Heading 2 Char"/>
    <w:basedOn w:val="DefaultParagraphFont"/>
    <w:link w:val="Heading2"/>
    <w:uiPriority w:val="9"/>
    <w:semiHidden/>
    <w:rsid w:val="00DB4B24"/>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DB4B24"/>
    <w:pPr>
      <w:tabs>
        <w:tab w:val="center" w:pos="4513"/>
        <w:tab w:val="right" w:pos="9026"/>
      </w:tabs>
      <w:spacing w:after="0"/>
    </w:pPr>
  </w:style>
  <w:style w:type="character" w:customStyle="1" w:styleId="HeaderChar">
    <w:name w:val="Header Char"/>
    <w:basedOn w:val="DefaultParagraphFont"/>
    <w:link w:val="Header"/>
    <w:uiPriority w:val="99"/>
    <w:rsid w:val="00DB4B24"/>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DB4B24"/>
    <w:pPr>
      <w:tabs>
        <w:tab w:val="center" w:pos="4513"/>
        <w:tab w:val="right" w:pos="9026"/>
      </w:tabs>
      <w:spacing w:after="0"/>
    </w:pPr>
  </w:style>
  <w:style w:type="character" w:customStyle="1" w:styleId="FooterChar">
    <w:name w:val="Footer Char"/>
    <w:basedOn w:val="DefaultParagraphFont"/>
    <w:link w:val="Footer"/>
    <w:uiPriority w:val="99"/>
    <w:rsid w:val="00DB4B24"/>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775D8-8DF7-4C16-B54E-97CF9DDB9C7F}"/>
</file>

<file path=customXml/itemProps2.xml><?xml version="1.0" encoding="utf-8"?>
<ds:datastoreItem xmlns:ds="http://schemas.openxmlformats.org/officeDocument/2006/customXml" ds:itemID="{C260386B-E59F-415F-B3F1-963E57EC8AF2}"/>
</file>

<file path=customXml/itemProps3.xml><?xml version="1.0" encoding="utf-8"?>
<ds:datastoreItem xmlns:ds="http://schemas.openxmlformats.org/officeDocument/2006/customXml" ds:itemID="{91F8AD83-D084-4AFA-98F5-FA50DFB96EF0}"/>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2021-12-10T16:57:00Z</dcterms:created>
  <dcterms:modified xsi:type="dcterms:W3CDTF">2021-12-10T17:31:00Z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2021-12-10T16:58:15Z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8ab9e843-4529-4c92-a607-c8f46da6e5fa</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