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73209" w14:textId="77777777" w:rsidR="00442BD8" w:rsidRDefault="00442BD8" w:rsidP="00442BD8">
      <w:pPr>
        <w:pStyle w:val="Heading1"/>
      </w:pPr>
      <w:bookmarkStart w:id="0" w:name="_Toc468806843"/>
      <w:bookmarkStart w:id="1" w:name="_Toc478036619"/>
      <w:r w:rsidRPr="001C2833">
        <w:t>INTM554080</w:t>
      </w:r>
      <w:r>
        <w:t>: Hybrids: Transfers by UK permanent establishments of multinational companies (Chapter 6)</w:t>
      </w:r>
      <w:r w:rsidRPr="001C2833">
        <w:t>: Example</w:t>
      </w:r>
      <w:bookmarkEnd w:id="0"/>
      <w:bookmarkEnd w:id="1"/>
      <w:r w:rsidRPr="001C2833">
        <w:t xml:space="preserve"> </w:t>
      </w:r>
    </w:p>
    <w:p w14:paraId="55773027" w14:textId="77777777" w:rsidR="00442BD8" w:rsidRPr="007674F8" w:rsidRDefault="00442BD8" w:rsidP="00442BD8">
      <w:pPr>
        <w:pStyle w:val="BodyText"/>
      </w:pPr>
    </w:p>
    <w:p w14:paraId="587F1A70" w14:textId="77777777" w:rsidR="00442BD8" w:rsidRPr="00B274A0" w:rsidRDefault="00442BD8" w:rsidP="00442BD8">
      <w:pPr>
        <w:pStyle w:val="BodyText"/>
      </w:pPr>
      <w:r w:rsidRPr="00CE0C66">
        <w:rPr>
          <w:noProof/>
        </w:rPr>
        <w:drawing>
          <wp:inline distT="0" distB="0" distL="0" distR="0" wp14:anchorId="29F207C1" wp14:editId="45204616">
            <wp:extent cx="4816475" cy="1981200"/>
            <wp:effectExtent l="0" t="0" r="0" b="0"/>
            <wp:docPr id="5" name="Picture 5" descr="• X Co is a non-UK resident company, resident in Country X &#10;• UK Co is a UK resident company that is entirely owned by X Co&#10;• X Co has a UK permanent establishment, X Branch&#10;• The profits of X Branch are taxable in the UK only, as Country X’s domestic legislation has an exemption for foreign branches&#10;• UK Co pays fees to X Branch, which are brought into account as income of X Branch in the UK&#10;• The accounts for X Branch show a deduction for the transfer of money or money’s worth to X Co &#10;• That transfer to X Co is not brought into account when calculating the profits of X Co under its domestic tax regime. &#10;" title="INTM554080 Structure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7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262576" w14:textId="77777777" w:rsidR="00442BD8" w:rsidRPr="002B6DDE" w:rsidRDefault="00442BD8" w:rsidP="00442BD8">
      <w:pPr>
        <w:pStyle w:val="Heading2"/>
      </w:pPr>
      <w:bookmarkStart w:id="2" w:name="_Toc468806844"/>
      <w:bookmarkStart w:id="3" w:name="_Toc478036620"/>
      <w:r>
        <w:t>Background</w:t>
      </w:r>
      <w:bookmarkEnd w:id="2"/>
      <w:bookmarkEnd w:id="3"/>
    </w:p>
    <w:p w14:paraId="1577F37D" w14:textId="77777777" w:rsidR="00442BD8" w:rsidRPr="00CE0C66" w:rsidRDefault="00442BD8" w:rsidP="00442BD8">
      <w:pPr>
        <w:pStyle w:val="ListBullet"/>
        <w:numPr>
          <w:ilvl w:val="0"/>
          <w:numId w:val="1"/>
        </w:numPr>
      </w:pPr>
      <w:r w:rsidRPr="00B274A0">
        <w:t xml:space="preserve">X Co is a non-UK resident company resident in Country X </w:t>
      </w:r>
    </w:p>
    <w:p w14:paraId="35C4D129" w14:textId="77777777" w:rsidR="00442BD8" w:rsidRPr="00CE0C66" w:rsidRDefault="00442BD8" w:rsidP="00442BD8">
      <w:pPr>
        <w:pStyle w:val="ListBullet"/>
        <w:numPr>
          <w:ilvl w:val="0"/>
          <w:numId w:val="1"/>
        </w:numPr>
      </w:pPr>
      <w:r w:rsidRPr="00B274A0">
        <w:t>X Co has a UK permanent establishment, X Branch</w:t>
      </w:r>
    </w:p>
    <w:p w14:paraId="5A98E810" w14:textId="77777777" w:rsidR="00442BD8" w:rsidRPr="00CE0C66" w:rsidRDefault="00442BD8" w:rsidP="00442BD8">
      <w:pPr>
        <w:pStyle w:val="ListBullet"/>
        <w:numPr>
          <w:ilvl w:val="0"/>
          <w:numId w:val="1"/>
        </w:numPr>
      </w:pPr>
      <w:r w:rsidRPr="00B274A0">
        <w:t>UK Co is a UK resident company that is entirely owned by X Co</w:t>
      </w:r>
    </w:p>
    <w:p w14:paraId="370B834E" w14:textId="77777777" w:rsidR="00442BD8" w:rsidRPr="00CE0C66" w:rsidRDefault="00442BD8" w:rsidP="00442BD8">
      <w:pPr>
        <w:pStyle w:val="ListBullet"/>
        <w:numPr>
          <w:ilvl w:val="0"/>
          <w:numId w:val="1"/>
        </w:numPr>
      </w:pPr>
      <w:r w:rsidRPr="00B274A0">
        <w:t>The profits of X Branch are taxable in the UK only, as Country X’s domestic legislation has an exemption for foreign branches</w:t>
      </w:r>
    </w:p>
    <w:p w14:paraId="4FB92AD7" w14:textId="77777777" w:rsidR="00442BD8" w:rsidRPr="00CE0C66" w:rsidRDefault="00442BD8" w:rsidP="00442BD8">
      <w:pPr>
        <w:pStyle w:val="ListBullet"/>
        <w:numPr>
          <w:ilvl w:val="0"/>
          <w:numId w:val="1"/>
        </w:numPr>
      </w:pPr>
      <w:r w:rsidRPr="00B274A0">
        <w:t>UK Co pays fees to X Branch, which are brought into account as income of X Branch in the UK</w:t>
      </w:r>
    </w:p>
    <w:p w14:paraId="0DAD5C57" w14:textId="77777777" w:rsidR="00442BD8" w:rsidRPr="00CE0C66" w:rsidRDefault="00442BD8" w:rsidP="00442BD8">
      <w:pPr>
        <w:pStyle w:val="ListBullet"/>
        <w:numPr>
          <w:ilvl w:val="0"/>
          <w:numId w:val="1"/>
        </w:numPr>
      </w:pPr>
      <w:r w:rsidRPr="00B274A0">
        <w:t xml:space="preserve">The accounts for X Branch show a deduction for the transfer of money or money’s worth to X Co </w:t>
      </w:r>
    </w:p>
    <w:p w14:paraId="4EBC2E1A" w14:textId="77777777" w:rsidR="00442BD8" w:rsidRPr="00CE0C66" w:rsidRDefault="00442BD8" w:rsidP="00442BD8">
      <w:pPr>
        <w:pStyle w:val="ListBullet"/>
        <w:numPr>
          <w:ilvl w:val="0"/>
          <w:numId w:val="1"/>
        </w:numPr>
      </w:pPr>
      <w:r w:rsidRPr="00B274A0">
        <w:t xml:space="preserve">That transfer to X Co is not brought into account when calculating the profits of X Co under its domestic tax regime. </w:t>
      </w:r>
    </w:p>
    <w:p w14:paraId="244173A3" w14:textId="77777777" w:rsidR="00442BD8" w:rsidRDefault="00442BD8" w:rsidP="00442BD8">
      <w:pPr>
        <w:pStyle w:val="Heading2"/>
      </w:pPr>
      <w:bookmarkStart w:id="4" w:name="_Toc468806845"/>
      <w:bookmarkStart w:id="5" w:name="_Toc478036621"/>
      <w:r w:rsidRPr="00753140">
        <w:t>Analysis - Applying the tests in s259FA TIOPA</w:t>
      </w:r>
      <w:r>
        <w:t xml:space="preserve"> </w:t>
      </w:r>
      <w:r w:rsidRPr="00753140">
        <w:t>2010</w:t>
      </w:r>
      <w:bookmarkEnd w:id="4"/>
      <w:bookmarkEnd w:id="5"/>
    </w:p>
    <w:p w14:paraId="7DFE0608" w14:textId="77777777" w:rsidR="00442BD8" w:rsidRPr="00B274A0" w:rsidRDefault="00442BD8" w:rsidP="00442BD8">
      <w:pPr>
        <w:pStyle w:val="BodyText"/>
      </w:pPr>
      <w:r w:rsidRPr="00B274A0">
        <w:t xml:space="preserve">Does the deemed payment by X Branch to X Co satisfy the relevant conditions to fall within the scope of Chapter 6? </w:t>
      </w:r>
    </w:p>
    <w:p w14:paraId="153A6E99" w14:textId="77777777" w:rsidR="00442BD8" w:rsidRPr="00753140" w:rsidRDefault="00442BD8" w:rsidP="00442BD8">
      <w:pPr>
        <w:pStyle w:val="Heading3"/>
      </w:pPr>
      <w:bookmarkStart w:id="6" w:name="_Toc468806846"/>
      <w:bookmarkStart w:id="7" w:name="_Toc478036622"/>
      <w:r w:rsidRPr="00753140">
        <w:t>Condition A: Is the company a multinational company?</w:t>
      </w:r>
      <w:bookmarkEnd w:id="6"/>
      <w:bookmarkEnd w:id="7"/>
    </w:p>
    <w:p w14:paraId="7DB1A9A3" w14:textId="77777777" w:rsidR="00442BD8" w:rsidRPr="00B274A0" w:rsidRDefault="00442BD8" w:rsidP="00442BD8">
      <w:pPr>
        <w:pStyle w:val="BodyText"/>
      </w:pPr>
      <w:r w:rsidRPr="00B274A0">
        <w:t xml:space="preserve">X Co is a company resident for tax purposes in a territory outside the UK, Country X. X Co carries on a business in the UK through a permanent establishment, X Branch, and is within the charge to corporation tax in the UK on the profits attributable to X Branch. </w:t>
      </w:r>
    </w:p>
    <w:p w14:paraId="23C5CC0D" w14:textId="77777777" w:rsidR="00442BD8" w:rsidRPr="00B274A0" w:rsidRDefault="00442BD8" w:rsidP="00442BD8">
      <w:pPr>
        <w:pStyle w:val="BodyText"/>
      </w:pPr>
      <w:r w:rsidRPr="00B274A0">
        <w:lastRenderedPageBreak/>
        <w:t>Condition A is satisfied in respect of X Co.</w:t>
      </w:r>
    </w:p>
    <w:p w14:paraId="7631CFAF" w14:textId="77777777" w:rsidR="00442BD8" w:rsidRPr="00753140" w:rsidRDefault="00442BD8" w:rsidP="00442BD8">
      <w:pPr>
        <w:pStyle w:val="Heading3"/>
      </w:pPr>
      <w:bookmarkStart w:id="8" w:name="_Toc468806847"/>
      <w:bookmarkStart w:id="9" w:name="_Toc478036623"/>
      <w:r w:rsidRPr="00753140">
        <w:t>Condition B: Is there a PE deduction?</w:t>
      </w:r>
      <w:bookmarkEnd w:id="8"/>
      <w:bookmarkEnd w:id="9"/>
    </w:p>
    <w:p w14:paraId="6FF958EB" w14:textId="77777777" w:rsidR="00442BD8" w:rsidRPr="00B274A0" w:rsidRDefault="00442BD8" w:rsidP="00442BD8">
      <w:pPr>
        <w:pStyle w:val="BodyText"/>
      </w:pPr>
      <w:r w:rsidRPr="00B274A0">
        <w:t xml:space="preserve">X Branch either makes a transfer of money or money’s worth to X Co, or is treated as doing so as it is in recognition of that transfer for which the deduction is permitted. X Branch may deduct that amount from its income when calculating its profits chargeable to corporation tax in the UK. </w:t>
      </w:r>
    </w:p>
    <w:p w14:paraId="4BD52263" w14:textId="77777777" w:rsidR="00442BD8" w:rsidRPr="00B274A0" w:rsidRDefault="00442BD8" w:rsidP="00442BD8">
      <w:pPr>
        <w:pStyle w:val="BodyText"/>
      </w:pPr>
      <w:r w:rsidRPr="00B274A0">
        <w:t xml:space="preserve">Condition B is satisfied. </w:t>
      </w:r>
    </w:p>
    <w:p w14:paraId="4A9502E9" w14:textId="77777777" w:rsidR="00442BD8" w:rsidRPr="00753140" w:rsidRDefault="00442BD8" w:rsidP="00442BD8">
      <w:pPr>
        <w:pStyle w:val="Heading3"/>
      </w:pPr>
      <w:bookmarkStart w:id="10" w:name="_Toc468806848"/>
      <w:bookmarkStart w:id="11" w:name="_Toc478036624"/>
      <w:r w:rsidRPr="00753140">
        <w:t>Condition C: Is it reasonable to suppose that the circumstances giving rise to the PE deduction is not matched by an increase in taxable profits?</w:t>
      </w:r>
      <w:bookmarkEnd w:id="10"/>
      <w:bookmarkEnd w:id="11"/>
    </w:p>
    <w:p w14:paraId="519D8168" w14:textId="77777777" w:rsidR="00442BD8" w:rsidRPr="00B274A0" w:rsidRDefault="00442BD8" w:rsidP="00442BD8">
      <w:pPr>
        <w:pStyle w:val="BodyText"/>
      </w:pPr>
      <w:r w:rsidRPr="00B274A0">
        <w:t xml:space="preserve">In this example it is reasonable to suppose that the circumstances giving rise to the PE deduction for X Branch in the UK do not result in any increase in the taxable income of X Co in Country X. </w:t>
      </w:r>
      <w:r>
        <w:t>This is because Country X’s legislation exempts income from foreign branches.</w:t>
      </w:r>
    </w:p>
    <w:p w14:paraId="227A47AD" w14:textId="77777777" w:rsidR="00442BD8" w:rsidRPr="00B274A0" w:rsidRDefault="00442BD8" w:rsidP="00442BD8">
      <w:pPr>
        <w:pStyle w:val="BodyText"/>
      </w:pPr>
      <w:r w:rsidRPr="00B274A0">
        <w:t xml:space="preserve">Condition C is satisfied. </w:t>
      </w:r>
    </w:p>
    <w:p w14:paraId="481C89F8" w14:textId="77777777" w:rsidR="00442BD8" w:rsidRDefault="00442BD8" w:rsidP="00442BD8">
      <w:pPr>
        <w:pStyle w:val="Heading3"/>
      </w:pPr>
      <w:bookmarkStart w:id="12" w:name="_Toc468806849"/>
      <w:bookmarkStart w:id="13" w:name="_Toc478036625"/>
      <w:r w:rsidRPr="00B344B0">
        <w:t>Conclusion</w:t>
      </w:r>
      <w:bookmarkEnd w:id="12"/>
      <w:bookmarkEnd w:id="13"/>
      <w:r>
        <w:t xml:space="preserve"> </w:t>
      </w:r>
    </w:p>
    <w:p w14:paraId="09E5CBEF" w14:textId="77777777" w:rsidR="00442BD8" w:rsidRDefault="00442BD8" w:rsidP="00442BD8">
      <w:pPr>
        <w:pStyle w:val="BodyText"/>
      </w:pPr>
      <w:r w:rsidRPr="00D71C6A">
        <w:t xml:space="preserve">As all the relevant conditions are satisfied the </w:t>
      </w:r>
      <w:r>
        <w:t xml:space="preserve">PE deduction is subject to a counteraction under Chapter 6. </w:t>
      </w:r>
    </w:p>
    <w:p w14:paraId="4FCD4553" w14:textId="77777777" w:rsidR="00442BD8" w:rsidRPr="00B274A0" w:rsidRDefault="00442BD8" w:rsidP="00442BD8">
      <w:pPr>
        <w:pStyle w:val="Heading2"/>
      </w:pPr>
      <w:bookmarkStart w:id="14" w:name="_Toc468806850"/>
      <w:bookmarkStart w:id="15" w:name="_Toc478036626"/>
      <w:r w:rsidRPr="002B6DDE">
        <w:t>Counteraction</w:t>
      </w:r>
      <w:bookmarkEnd w:id="14"/>
      <w:bookmarkEnd w:id="15"/>
      <w:r w:rsidRPr="00B274A0">
        <w:t xml:space="preserve"> </w:t>
      </w:r>
    </w:p>
    <w:p w14:paraId="10E94F28" w14:textId="77777777" w:rsidR="00442BD8" w:rsidRPr="00B274A0" w:rsidRDefault="00442BD8" w:rsidP="00442BD8">
      <w:pPr>
        <w:pStyle w:val="BodyText"/>
      </w:pPr>
      <w:r w:rsidRPr="00B274A0">
        <w:t xml:space="preserve">There is no recognition </w:t>
      </w:r>
      <w:r>
        <w:t>of</w:t>
      </w:r>
      <w:r w:rsidRPr="00B274A0">
        <w:t xml:space="preserve"> the transfer when calculating the profits of X Co. Therefore, the extent of the mismatch </w:t>
      </w:r>
      <w:r>
        <w:t>(</w:t>
      </w:r>
      <w:r w:rsidRPr="00B274A0">
        <w:t>termed the excessive PE deduction</w:t>
      </w:r>
      <w:r>
        <w:t>)</w:t>
      </w:r>
      <w:r w:rsidRPr="00B274A0">
        <w:t xml:space="preserve"> is the entire amount of the PE deduction of X Branch. </w:t>
      </w:r>
    </w:p>
    <w:p w14:paraId="618E6861" w14:textId="77777777" w:rsidR="00442BD8" w:rsidRPr="00B274A0" w:rsidRDefault="00442BD8" w:rsidP="00442BD8">
      <w:pPr>
        <w:pStyle w:val="BodyText"/>
      </w:pPr>
      <w:r w:rsidRPr="00B274A0">
        <w:t>The excessive PE deduction may be deducted only from dual inclusion income of X Co. In this example X Co does not have any dual inclusion income, so X Branch cannot deduct any of the excessive PE deduction. The unused deduction is carried forward to subsequent accounting periods, and may be used against dual inclusion income of those periods.</w:t>
      </w:r>
    </w:p>
    <w:p w14:paraId="2F472995" w14:textId="77777777" w:rsidR="00442BD8" w:rsidRDefault="00442BD8" w:rsidP="00442BD8"/>
    <w:bookmarkStart w:id="16" w:name="_Hlk90048850"/>
    <w:bookmarkStart w:id="17" w:name="_Hlk90049141"/>
    <w:p w14:paraId="6BB5473C" w14:textId="77777777" w:rsidR="00104457" w:rsidRDefault="00104457" w:rsidP="00104457">
      <w:r>
        <w:fldChar w:fldCharType="begin"/>
      </w:r>
      <w:r>
        <w:instrText>HYPERLINK "https://www.gov.uk/hmrc-internal-manuals/international-manual/intm550000"</w:instrText>
      </w:r>
      <w:r>
        <w:fldChar w:fldCharType="separate"/>
      </w:r>
      <w:r>
        <w:rPr>
          <w:rStyle w:val="Hyperlink"/>
        </w:rPr>
        <w:t>Return to contents</w:t>
      </w:r>
      <w:r>
        <w:fldChar w:fldCharType="end"/>
      </w:r>
      <w:bookmarkEnd w:id="16"/>
      <w:r>
        <w:t xml:space="preserve"> </w:t>
      </w:r>
      <w:bookmarkEnd w:id="17"/>
    </w:p>
    <w:p w14:paraId="5812F286" w14:textId="77777777" w:rsidR="00714BF2" w:rsidRDefault="00CA5E34"/>
    <w:sectPr w:rsidR="00714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4CBD7" w14:textId="77777777" w:rsidR="00CA5E34" w:rsidRDefault="00CA5E34" w:rsidP="00442BD8">
      <w:pPr>
        <w:spacing w:after="0"/>
      </w:pPr>
      <w:r>
        <w:separator/>
      </w:r>
    </w:p>
  </w:endnote>
  <w:endnote w:type="continuationSeparator" w:id="0">
    <w:p w14:paraId="3CE26537" w14:textId="77777777" w:rsidR="00CA5E34" w:rsidRDefault="00CA5E34" w:rsidP="00442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B9D58" w14:textId="77777777" w:rsidR="00104457" w:rsidRDefault="001044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3ACC3" w14:textId="3AC5D890" w:rsidR="00442BD8" w:rsidRDefault="00442BD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11EE2B" wp14:editId="3CD4EEA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13047edb1472f726af94671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24EA05" w14:textId="58B40A4B" w:rsidR="00442BD8" w:rsidRPr="00442BD8" w:rsidRDefault="00442BD8" w:rsidP="00442BD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42BD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1EE2B" id="_x0000_t202" coordsize="21600,21600" o:spt="202" path="m,l,21600r21600,l21600,xe">
              <v:stroke joinstyle="miter"/>
              <v:path gradientshapeok="t" o:connecttype="rect"/>
            </v:shapetype>
            <v:shape id="MSIPCM213047edb1472f726af94671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" o:allowincell="f" filled="f" stroked="f" strokeweight=".5pt">
              <v:fill o:detectmouseclick="t"/>
              <v:textbox inset=",0,,0">
                <w:txbxContent>
                  <w:p w14:paraId="6B24EA05" w14:textId="58B40A4B" w:rsidR="00442BD8" w:rsidRPr="00442BD8" w:rsidRDefault="00442BD8" w:rsidP="00442BD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42BD8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7E37C" w14:textId="77777777" w:rsidR="00104457" w:rsidRDefault="00104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841747" w14:textId="77777777" w:rsidR="00CA5E34" w:rsidRDefault="00CA5E34" w:rsidP="00442BD8">
      <w:pPr>
        <w:spacing w:after="0"/>
      </w:pPr>
      <w:r>
        <w:separator/>
      </w:r>
    </w:p>
  </w:footnote>
  <w:footnote w:type="continuationSeparator" w:id="0">
    <w:p w14:paraId="7CDACEC4" w14:textId="77777777" w:rsidR="00CA5E34" w:rsidRDefault="00CA5E34" w:rsidP="00442B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1875F" w14:textId="77777777" w:rsidR="00104457" w:rsidRDefault="001044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4AFF3" w14:textId="77777777" w:rsidR="00104457" w:rsidRDefault="001044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B557E" w14:textId="77777777" w:rsidR="00104457" w:rsidRDefault="001044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32194C"/>
    <w:multiLevelType w:val="hybridMultilevel"/>
    <w:tmpl w:val="63F63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D8"/>
    <w:rsid w:val="00104457"/>
    <w:rsid w:val="001F0F8E"/>
    <w:rsid w:val="00442BD8"/>
    <w:rsid w:val="007F5080"/>
    <w:rsid w:val="00CA5E34"/>
    <w:rsid w:val="00EA0CE8"/>
    <w:rsid w:val="00EB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2464F"/>
  <w15:chartTrackingRefBased/>
  <w15:docId w15:val="{4F2728DE-8C5A-43AB-B7D6-6D355ADA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442BD8"/>
    <w:pPr>
      <w:spacing w:after="24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442BD8"/>
    <w:pPr>
      <w:keepNext/>
      <w:keepLines/>
      <w:outlineLvl w:val="0"/>
    </w:pPr>
    <w:rPr>
      <w:rFonts w:cs="Arial"/>
      <w:b/>
      <w:bCs/>
      <w:kern w:val="28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42BD8"/>
    <w:pPr>
      <w:keepNext/>
      <w:spacing w:before="120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442BD8"/>
    <w:pPr>
      <w:outlineLvl w:val="2"/>
    </w:pPr>
    <w:rPr>
      <w:bCs w:val="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BD8"/>
    <w:rPr>
      <w:rFonts w:ascii="Arial" w:eastAsia="Times New Roman" w:hAnsi="Arial" w:cs="Arial"/>
      <w:b/>
      <w:bCs/>
      <w:kern w:val="28"/>
      <w:sz w:val="40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42BD8"/>
    <w:rPr>
      <w:rFonts w:ascii="Arial" w:eastAsia="Times New Roman" w:hAnsi="Arial" w:cs="Arial"/>
      <w:b/>
      <w:bCs/>
      <w:iCs/>
      <w:sz w:val="32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42BD8"/>
    <w:rPr>
      <w:rFonts w:ascii="Arial" w:eastAsia="Times New Roman" w:hAnsi="Arial" w:cs="Arial"/>
      <w:b/>
      <w:iCs/>
      <w:sz w:val="24"/>
      <w:szCs w:val="26"/>
      <w:lang w:eastAsia="en-GB"/>
    </w:rPr>
  </w:style>
  <w:style w:type="paragraph" w:styleId="BodyText">
    <w:name w:val="Body Text"/>
    <w:basedOn w:val="Normal"/>
    <w:link w:val="BodyTextChar"/>
    <w:rsid w:val="00442BD8"/>
  </w:style>
  <w:style w:type="character" w:customStyle="1" w:styleId="BodyTextChar">
    <w:name w:val="Body Text Char"/>
    <w:basedOn w:val="DefaultParagraphFont"/>
    <w:link w:val="BodyText"/>
    <w:rsid w:val="00442BD8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uiPriority w:val="99"/>
    <w:rsid w:val="00442BD8"/>
    <w:rPr>
      <w:rFonts w:ascii="Arial" w:hAnsi="Arial"/>
      <w:color w:val="0000FF"/>
      <w:sz w:val="24"/>
      <w:u w:val="single"/>
    </w:rPr>
  </w:style>
  <w:style w:type="paragraph" w:styleId="ListBullet">
    <w:name w:val="List Bullet"/>
    <w:basedOn w:val="BodyText"/>
    <w:rsid w:val="00442BD8"/>
  </w:style>
  <w:style w:type="paragraph" w:styleId="Header">
    <w:name w:val="header"/>
    <w:basedOn w:val="Normal"/>
    <w:link w:val="HeaderChar"/>
    <w:uiPriority w:val="99"/>
    <w:unhideWhenUsed/>
    <w:rsid w:val="00442B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2BD8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42BD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2BD8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18433AF74A4EBB5B6F5E327EBF4D" ma:contentTypeVersion="12" ma:contentTypeDescription="Create a new document." ma:contentTypeScope="" ma:versionID="3ebf08c28007acb212aac7d9c7e48ff7">
  <xsd:schema xmlns:xsd="http://www.w3.org/2001/XMLSchema" xmlns:xs="http://www.w3.org/2001/XMLSchema" xmlns:p="http://schemas.microsoft.com/office/2006/metadata/properties" xmlns:ns2="417865cd-4129-408b-a079-f246660bbdb5" xmlns:ns3="0f2d7795-f8ec-4d3c-929f-0e5668c51a48" targetNamespace="http://schemas.microsoft.com/office/2006/metadata/properties" ma:root="true" ma:fieldsID="3334006b85fcb72ef50f90033308db4d" ns2:_="" ns3:_="">
    <xsd:import namespace="417865cd-4129-408b-a079-f246660bbdb5"/>
    <xsd:import namespace="0f2d7795-f8ec-4d3c-929f-0e5668c51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865cd-4129-408b-a079-f246660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7795-f8ec-4d3c-929f-0e5668c51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EED960-9155-41B6-BA53-52715FF46D1D}"/>
</file>

<file path=customXml/itemProps2.xml><?xml version="1.0" encoding="utf-8"?>
<ds:datastoreItem xmlns:ds="http://schemas.openxmlformats.org/officeDocument/2006/customXml" ds:itemID="{238AF16E-6820-479D-A860-E781041C0C93}"/>
</file>

<file path=customXml/itemProps3.xml><?xml version="1.0" encoding="utf-8"?>
<ds:datastoreItem xmlns:ds="http://schemas.openxmlformats.org/officeDocument/2006/customXml" ds:itemID="{7AC8CAC9-71E7-4767-AC0D-0933DC08E0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Paul (CS&amp;TD Business, Assets &amp; International)</dc:creator>
  <cp:keywords/>
  <dc:description/>
  <cp:lastModifiedBy>Duncan, Paul (CS&amp;TD Business, Assets &amp; International)</cp:lastModifiedBy>
  <cp:revision>2</cp:revision>
  <dcterms:created xsi:type="dcterms:W3CDTF">2021-12-10T16:45:00Z</dcterms:created>
  <dcterms:modified xsi:type="dcterms:W3CDTF">2021-12-10T17:29:00Z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2021-12-10T16:46:36Z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5acef0d9-afd1-4575-9dc7-f65d799d2aca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0x010100548D18433AF74A4EBB5B6F5E327EBF4D</vt:lpwstr>
  </property>
</Properties>
</file>