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69B54B" w14:textId="77777777" w:rsidR="005A445A" w:rsidRDefault="005A445A" w:rsidP="005A445A">
      <w:pPr>
        <w:pStyle w:val="Heading1"/>
      </w:pPr>
      <w:r w:rsidRPr="003640D4">
        <w:t>INTM</w:t>
      </w:r>
      <w:r>
        <w:t>55326</w:t>
      </w:r>
      <w:r w:rsidRPr="003640D4">
        <w:t>0:</w:t>
      </w:r>
      <w:r>
        <w:t xml:space="preserve"> Hybrids: Hybrid payer (Chapter 5): </w:t>
      </w:r>
      <w:r w:rsidRPr="003640D4">
        <w:t>Example: Restricted deduction carried forward</w:t>
      </w:r>
    </w:p>
    <w:p w14:paraId="4C5CBD09" w14:textId="77777777" w:rsidR="005A445A" w:rsidRDefault="005A445A" w:rsidP="005A445A">
      <w:r w:rsidRPr="00CE0C66">
        <w:rPr>
          <w:noProof/>
        </w:rPr>
        <w:drawing>
          <wp:inline distT="0" distB="0" distL="0" distR="0" wp14:anchorId="2089B3CC" wp14:editId="5DC35FB1">
            <wp:extent cx="5967730" cy="2616200"/>
            <wp:effectExtent l="0" t="0" r="0" b="0"/>
            <wp:docPr id="8" name="Picture 8" descr="This continues from the example at INTM553230. All the relevant conditions are satisfied to characterise the deductions claimed under Loan1 as ‘hybrid payer deduction/non-inclusion mismatches’ for each payment period, and the income from Loan2 satisfies the requirements to be considered dual inclusion&#10;Year 1: &#10;• Co.1 and Co.2 have corresponding payment periods&#10;• the interest payment of 200 under Loan 1 is the restricted deduction&#10;• interest of 100 payable under Loan 2 and is included in the ordinary income of both Co.1 and Co.2&#10;Year 2: &#10;• the mismatch arising under Loan 1 in Year 2 remains at 200&#10;• 100 is payable under Loan 2 is included in the ordinary income of both Co.1 and Co.2&#10;Year 3: &#10;• Loan 1 has ceased and there is no longer any mismatch &#10;• 100 is payable under Loan 2 and is included in the ordinary income of both Co.1 and Co.2&#10;" title="INTM553240 Structure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7730" cy="2616200"/>
                    </a:xfrm>
                    <a:prstGeom prst="rect">
                      <a:avLst/>
                    </a:prstGeom>
                    <a:noFill/>
                    <a:ln>
                      <a:noFill/>
                    </a:ln>
                  </pic:spPr>
                </pic:pic>
              </a:graphicData>
            </a:graphic>
          </wp:inline>
        </w:drawing>
      </w:r>
    </w:p>
    <w:p w14:paraId="1CCCE45A" w14:textId="77777777" w:rsidR="005A445A" w:rsidRPr="00891CDC" w:rsidRDefault="005A445A" w:rsidP="005A445A">
      <w:pPr>
        <w:pStyle w:val="Heading2"/>
      </w:pPr>
      <w:r>
        <w:t>Background</w:t>
      </w:r>
    </w:p>
    <w:p w14:paraId="7B61219D" w14:textId="77777777" w:rsidR="005A445A" w:rsidRPr="001A31FC" w:rsidRDefault="005A445A" w:rsidP="005A445A">
      <w:r w:rsidRPr="001A31FC">
        <w:t xml:space="preserve">This continues from the example at </w:t>
      </w:r>
      <w:hyperlink r:id="rId8" w:history="1">
        <w:r w:rsidRPr="001A31FC">
          <w:rPr>
            <w:rStyle w:val="Hyperlink"/>
          </w:rPr>
          <w:t>INTM5532</w:t>
        </w:r>
        <w:r>
          <w:rPr>
            <w:rStyle w:val="Hyperlink"/>
          </w:rPr>
          <w:t>5</w:t>
        </w:r>
        <w:r w:rsidRPr="001A31FC">
          <w:rPr>
            <w:rStyle w:val="Hyperlink"/>
          </w:rPr>
          <w:t>0</w:t>
        </w:r>
      </w:hyperlink>
      <w:r w:rsidRPr="001A31FC">
        <w:t>. All the relevant conditions are satisfied to characterise the deductions claimed under Loan1 as ‘hybrid payer deduction/non-inclusion mismatches’ for each payment period, and the income from Loan2 satisfies the requirements to be considered dual inclusion</w:t>
      </w:r>
      <w:r>
        <w:t>.</w:t>
      </w:r>
    </w:p>
    <w:p w14:paraId="58538AD4" w14:textId="77777777" w:rsidR="005A445A" w:rsidRPr="004877B2" w:rsidRDefault="005A445A" w:rsidP="005A445A">
      <w:r w:rsidRPr="004877B2">
        <w:t xml:space="preserve">Year 1: </w:t>
      </w:r>
    </w:p>
    <w:p w14:paraId="1801DE87" w14:textId="77777777" w:rsidR="005A445A" w:rsidRPr="00CE0C66" w:rsidRDefault="005A445A" w:rsidP="005A445A">
      <w:pPr>
        <w:pStyle w:val="ListBullet"/>
        <w:numPr>
          <w:ilvl w:val="0"/>
          <w:numId w:val="1"/>
        </w:numPr>
      </w:pPr>
      <w:r w:rsidRPr="004877B2">
        <w:t>Co.1 and Co.2 have corresponding payment periods</w:t>
      </w:r>
    </w:p>
    <w:p w14:paraId="1AC2B005" w14:textId="77777777" w:rsidR="005A445A" w:rsidRPr="00CE0C66" w:rsidRDefault="005A445A" w:rsidP="005A445A">
      <w:pPr>
        <w:pStyle w:val="ListBullet"/>
        <w:numPr>
          <w:ilvl w:val="0"/>
          <w:numId w:val="1"/>
        </w:numPr>
      </w:pPr>
      <w:r w:rsidRPr="004877B2">
        <w:t>the interest payment of 200 under Loan 1 is the restricted deduction</w:t>
      </w:r>
    </w:p>
    <w:p w14:paraId="39E77487" w14:textId="77777777" w:rsidR="005A445A" w:rsidRPr="00CE0C66" w:rsidRDefault="005A445A" w:rsidP="005A445A">
      <w:pPr>
        <w:pStyle w:val="ListBullet"/>
        <w:numPr>
          <w:ilvl w:val="0"/>
          <w:numId w:val="1"/>
        </w:numPr>
      </w:pPr>
      <w:r w:rsidRPr="004877B2">
        <w:t>interest of 100 payable under Loan 2</w:t>
      </w:r>
      <w:r w:rsidRPr="00CE0C66">
        <w:t xml:space="preserve"> and is included in the ordinary income of both Co.1 and Co.2</w:t>
      </w:r>
      <w:r>
        <w:t>.</w:t>
      </w:r>
    </w:p>
    <w:p w14:paraId="7F6E282B" w14:textId="77777777" w:rsidR="005A445A" w:rsidRPr="004877B2" w:rsidRDefault="005A445A" w:rsidP="005A445A">
      <w:r w:rsidRPr="004877B2">
        <w:t xml:space="preserve">Year 2: </w:t>
      </w:r>
    </w:p>
    <w:p w14:paraId="4008049D" w14:textId="77777777" w:rsidR="005A445A" w:rsidRPr="00CE0C66" w:rsidRDefault="005A445A" w:rsidP="005A445A">
      <w:pPr>
        <w:pStyle w:val="ListBullet"/>
        <w:numPr>
          <w:ilvl w:val="0"/>
          <w:numId w:val="2"/>
        </w:numPr>
      </w:pPr>
      <w:r w:rsidRPr="004877B2">
        <w:t>the mismatch arising under Loan 1 in Year 2 remains at 200</w:t>
      </w:r>
    </w:p>
    <w:p w14:paraId="0EA5D2C8" w14:textId="77777777" w:rsidR="005A445A" w:rsidRPr="00CE0C66" w:rsidRDefault="005A445A" w:rsidP="005A445A">
      <w:pPr>
        <w:pStyle w:val="ListBullet"/>
        <w:numPr>
          <w:ilvl w:val="0"/>
          <w:numId w:val="2"/>
        </w:numPr>
      </w:pPr>
      <w:r w:rsidRPr="004877B2">
        <w:t>100 is payable under Loan 2 is included in the ordinary income of both Co.1 and Co.2</w:t>
      </w:r>
      <w:r>
        <w:t>.</w:t>
      </w:r>
    </w:p>
    <w:p w14:paraId="0A93EAAC" w14:textId="77777777" w:rsidR="005A445A" w:rsidRPr="004877B2" w:rsidRDefault="005A445A" w:rsidP="005A445A">
      <w:r w:rsidRPr="004877B2">
        <w:t xml:space="preserve">Year 3: </w:t>
      </w:r>
    </w:p>
    <w:p w14:paraId="679E7BCF" w14:textId="77777777" w:rsidR="005A445A" w:rsidRPr="00CE0C66" w:rsidRDefault="005A445A" w:rsidP="005A445A">
      <w:pPr>
        <w:pStyle w:val="ListBullet"/>
        <w:numPr>
          <w:ilvl w:val="0"/>
          <w:numId w:val="3"/>
        </w:numPr>
      </w:pPr>
      <w:r w:rsidRPr="004877B2">
        <w:t xml:space="preserve">Loan 1 has ceased and there is no longer any mismatch </w:t>
      </w:r>
    </w:p>
    <w:p w14:paraId="46009E4C" w14:textId="77777777" w:rsidR="005A445A" w:rsidRPr="00CE0C66" w:rsidRDefault="005A445A" w:rsidP="005A445A">
      <w:pPr>
        <w:pStyle w:val="ListBullet"/>
        <w:numPr>
          <w:ilvl w:val="0"/>
          <w:numId w:val="3"/>
        </w:numPr>
      </w:pPr>
      <w:r w:rsidRPr="004877B2">
        <w:t xml:space="preserve">100 is </w:t>
      </w:r>
      <w:r w:rsidRPr="00CE0C66">
        <w:t>payable under Loan 2 and is included in the ordinary income of both Co.1 and Co.2</w:t>
      </w:r>
      <w:r>
        <w:t>.</w:t>
      </w:r>
    </w:p>
    <w:p w14:paraId="20C5AB3E" w14:textId="77777777" w:rsidR="005A445A" w:rsidRPr="00825DFE" w:rsidRDefault="005A445A" w:rsidP="005A445A">
      <w:pPr>
        <w:pStyle w:val="Heading3"/>
      </w:pPr>
      <w:r w:rsidRPr="00825DFE">
        <w:lastRenderedPageBreak/>
        <w:t>YEAR 1</w:t>
      </w:r>
    </w:p>
    <w:p w14:paraId="5A4736FF" w14:textId="77777777" w:rsidR="005A445A" w:rsidRPr="001A31FC" w:rsidRDefault="005A445A" w:rsidP="005A445A">
      <w:r w:rsidRPr="001A31FC">
        <w:t xml:space="preserve">Loan 1: </w:t>
      </w:r>
    </w:p>
    <w:p w14:paraId="7915CDCB" w14:textId="77777777" w:rsidR="005A445A" w:rsidRPr="00CE0C66" w:rsidRDefault="005A445A" w:rsidP="005A445A">
      <w:pPr>
        <w:pStyle w:val="ListBullet"/>
        <w:numPr>
          <w:ilvl w:val="0"/>
          <w:numId w:val="4"/>
        </w:numPr>
      </w:pPr>
      <w:r w:rsidRPr="00DE00E1">
        <w:t xml:space="preserve">200 paid </w:t>
      </w:r>
      <w:r>
        <w:t>by Co.2 is a relevant deduction</w:t>
      </w:r>
    </w:p>
    <w:p w14:paraId="5484D9EF" w14:textId="77777777" w:rsidR="005A445A" w:rsidRPr="00CE0C66" w:rsidRDefault="005A445A" w:rsidP="005A445A">
      <w:pPr>
        <w:pStyle w:val="ListBullet"/>
        <w:numPr>
          <w:ilvl w:val="0"/>
          <w:numId w:val="4"/>
        </w:numPr>
      </w:pPr>
      <w:r w:rsidRPr="00DE00E1">
        <w:t>The mismatch amount is the excess of the relevant deduction (200) over the amount taxable as income by Co</w:t>
      </w:r>
      <w:r>
        <w:t>.</w:t>
      </w:r>
      <w:r w:rsidRPr="00DE00E1">
        <w:t xml:space="preserve">1 </w:t>
      </w:r>
      <w:r>
        <w:t>(nil)</w:t>
      </w:r>
    </w:p>
    <w:p w14:paraId="07A982F7" w14:textId="77777777" w:rsidR="005A445A" w:rsidRPr="00CE0C66" w:rsidRDefault="005A445A" w:rsidP="005A445A">
      <w:pPr>
        <w:pStyle w:val="ListBullet"/>
        <w:numPr>
          <w:ilvl w:val="0"/>
          <w:numId w:val="4"/>
        </w:numPr>
      </w:pPr>
      <w:r w:rsidRPr="00DE00E1">
        <w:t xml:space="preserve">The mismatch is 200. </w:t>
      </w:r>
    </w:p>
    <w:p w14:paraId="0D11E8BE" w14:textId="77777777" w:rsidR="005A445A" w:rsidRPr="001A31FC" w:rsidRDefault="005A445A" w:rsidP="005A445A">
      <w:r w:rsidRPr="001A31FC">
        <w:t>Loan 2:</w:t>
      </w:r>
      <w:r>
        <w:t xml:space="preserve"> </w:t>
      </w:r>
    </w:p>
    <w:p w14:paraId="031A7E8B" w14:textId="77777777" w:rsidR="005A445A" w:rsidRPr="00CE0C66" w:rsidRDefault="005A445A" w:rsidP="005A445A">
      <w:pPr>
        <w:pStyle w:val="ListBullet"/>
        <w:numPr>
          <w:ilvl w:val="0"/>
          <w:numId w:val="5"/>
        </w:numPr>
      </w:pPr>
      <w:r>
        <w:t>100 is payable by Co.2</w:t>
      </w:r>
    </w:p>
    <w:p w14:paraId="2A7552D8" w14:textId="77777777" w:rsidR="005A445A" w:rsidRPr="00CE0C66" w:rsidRDefault="005A445A" w:rsidP="005A445A">
      <w:pPr>
        <w:pStyle w:val="ListBullet"/>
        <w:numPr>
          <w:ilvl w:val="0"/>
          <w:numId w:val="5"/>
        </w:numPr>
      </w:pPr>
      <w:r w:rsidRPr="00DE00E1">
        <w:t>The receipt of 100 is included as taxable income by both Co</w:t>
      </w:r>
      <w:r>
        <w:t>.</w:t>
      </w:r>
      <w:r w:rsidRPr="00DE00E1">
        <w:t>1 and Co</w:t>
      </w:r>
      <w:r>
        <w:t>.2</w:t>
      </w:r>
      <w:r w:rsidRPr="00DE00E1">
        <w:t xml:space="preserve"> and therefore satisfies the definition of dual inclusion income.</w:t>
      </w:r>
      <w:r w:rsidRPr="00CE0C66">
        <w:t xml:space="preserve"> </w:t>
      </w:r>
    </w:p>
    <w:p w14:paraId="71F7F2B9" w14:textId="77777777" w:rsidR="005A445A" w:rsidRDefault="005A445A" w:rsidP="005A445A">
      <w:r w:rsidRPr="00891CDC">
        <w:t>Restricted deduction for Co</w:t>
      </w:r>
      <w:r>
        <w:t>.</w:t>
      </w:r>
      <w:r w:rsidRPr="00891CDC">
        <w:t>2 is 200 as this is the relevant deduction (200) capped at the level of the mismatch (also 200). As there is dual inclusion income of 100 we can allow 100 of the restricted deduction against the 100 dual inclusion income.</w:t>
      </w:r>
      <w:r>
        <w:t xml:space="preserve"> </w:t>
      </w:r>
    </w:p>
    <w:p w14:paraId="50279446" w14:textId="77777777" w:rsidR="005A445A" w:rsidRPr="00891CDC" w:rsidRDefault="005A445A" w:rsidP="005A445A">
      <w:r w:rsidRPr="00891CDC">
        <w:t xml:space="preserve">The restricted deduction carried forward to subsequent period becomes 100 and may be utilised against any future dual inclusion income. </w:t>
      </w:r>
    </w:p>
    <w:tbl>
      <w:tblPr>
        <w:tblStyle w:val="TableGrid"/>
        <w:tblW w:w="0" w:type="auto"/>
        <w:tblLook w:val="04A0" w:firstRow="1" w:lastRow="0" w:firstColumn="1" w:lastColumn="0" w:noHBand="0" w:noVBand="1"/>
      </w:tblPr>
      <w:tblGrid>
        <w:gridCol w:w="1542"/>
        <w:gridCol w:w="1487"/>
        <w:gridCol w:w="1542"/>
        <w:gridCol w:w="1432"/>
        <w:gridCol w:w="1498"/>
      </w:tblGrid>
      <w:tr w:rsidR="005A445A" w:rsidRPr="00891CDC" w14:paraId="5E515B18" w14:textId="77777777" w:rsidTr="0054295F">
        <w:trPr>
          <w:trHeight w:val="411"/>
        </w:trPr>
        <w:tc>
          <w:tcPr>
            <w:tcW w:w="1542" w:type="dxa"/>
            <w:hideMark/>
          </w:tcPr>
          <w:p w14:paraId="19701F05" w14:textId="77777777" w:rsidR="005A445A" w:rsidRPr="00CE0C66" w:rsidRDefault="005A445A" w:rsidP="0054295F">
            <w:r w:rsidRPr="001A31FC">
              <w:t>Relevant Deduction</w:t>
            </w:r>
          </w:p>
        </w:tc>
        <w:tc>
          <w:tcPr>
            <w:tcW w:w="1487" w:type="dxa"/>
            <w:hideMark/>
          </w:tcPr>
          <w:p w14:paraId="7D62B145" w14:textId="77777777" w:rsidR="005A445A" w:rsidRPr="00CE0C66" w:rsidRDefault="005A445A" w:rsidP="0054295F">
            <w:r w:rsidRPr="001A31FC">
              <w:t>Mismatch amount</w:t>
            </w:r>
          </w:p>
        </w:tc>
        <w:tc>
          <w:tcPr>
            <w:tcW w:w="1542" w:type="dxa"/>
            <w:hideMark/>
          </w:tcPr>
          <w:p w14:paraId="4E379595" w14:textId="77777777" w:rsidR="005A445A" w:rsidRPr="00CE0C66" w:rsidRDefault="005A445A" w:rsidP="0054295F">
            <w:r w:rsidRPr="001A31FC">
              <w:t>Restricted Deduction</w:t>
            </w:r>
          </w:p>
        </w:tc>
        <w:tc>
          <w:tcPr>
            <w:tcW w:w="1432" w:type="dxa"/>
            <w:hideMark/>
          </w:tcPr>
          <w:p w14:paraId="45725629" w14:textId="77777777" w:rsidR="005A445A" w:rsidRPr="00CE0C66" w:rsidRDefault="005A445A" w:rsidP="0054295F">
            <w:r w:rsidRPr="001A31FC">
              <w:t>Dual inclusion income</w:t>
            </w:r>
          </w:p>
        </w:tc>
        <w:tc>
          <w:tcPr>
            <w:tcW w:w="1498" w:type="dxa"/>
            <w:hideMark/>
          </w:tcPr>
          <w:p w14:paraId="4E60455A" w14:textId="77777777" w:rsidR="005A445A" w:rsidRPr="00CE0C66" w:rsidRDefault="005A445A" w:rsidP="0054295F">
            <w:r w:rsidRPr="001A31FC">
              <w:t>Restricted deduction c/f</w:t>
            </w:r>
          </w:p>
        </w:tc>
      </w:tr>
      <w:tr w:rsidR="005A445A" w:rsidRPr="00891CDC" w14:paraId="2FEA2B30" w14:textId="77777777" w:rsidTr="0054295F">
        <w:trPr>
          <w:trHeight w:val="290"/>
        </w:trPr>
        <w:tc>
          <w:tcPr>
            <w:tcW w:w="1542" w:type="dxa"/>
            <w:hideMark/>
          </w:tcPr>
          <w:p w14:paraId="722099E8" w14:textId="77777777" w:rsidR="005A445A" w:rsidRPr="00CE0C66" w:rsidRDefault="005A445A" w:rsidP="0054295F">
            <w:r w:rsidRPr="00891CDC">
              <w:t>200</w:t>
            </w:r>
          </w:p>
        </w:tc>
        <w:tc>
          <w:tcPr>
            <w:tcW w:w="1487" w:type="dxa"/>
            <w:hideMark/>
          </w:tcPr>
          <w:p w14:paraId="67BD5297" w14:textId="77777777" w:rsidR="005A445A" w:rsidRPr="00CE0C66" w:rsidRDefault="005A445A" w:rsidP="0054295F">
            <w:r w:rsidRPr="00891CDC">
              <w:t>200</w:t>
            </w:r>
          </w:p>
        </w:tc>
        <w:tc>
          <w:tcPr>
            <w:tcW w:w="1542" w:type="dxa"/>
            <w:hideMark/>
          </w:tcPr>
          <w:p w14:paraId="651647B1" w14:textId="77777777" w:rsidR="005A445A" w:rsidRPr="00CE0C66" w:rsidRDefault="005A445A" w:rsidP="0054295F">
            <w:r w:rsidRPr="00891CDC">
              <w:t>200</w:t>
            </w:r>
          </w:p>
        </w:tc>
        <w:tc>
          <w:tcPr>
            <w:tcW w:w="1432" w:type="dxa"/>
            <w:hideMark/>
          </w:tcPr>
          <w:p w14:paraId="22C92D2A" w14:textId="77777777" w:rsidR="005A445A" w:rsidRPr="00CE0C66" w:rsidRDefault="005A445A" w:rsidP="0054295F">
            <w:r w:rsidRPr="00891CDC">
              <w:t>100</w:t>
            </w:r>
          </w:p>
        </w:tc>
        <w:tc>
          <w:tcPr>
            <w:tcW w:w="1498" w:type="dxa"/>
            <w:hideMark/>
          </w:tcPr>
          <w:p w14:paraId="1AD67243" w14:textId="77777777" w:rsidR="005A445A" w:rsidRPr="00CE0C66" w:rsidRDefault="005A445A" w:rsidP="0054295F">
            <w:r w:rsidRPr="00891CDC">
              <w:t>100</w:t>
            </w:r>
          </w:p>
        </w:tc>
      </w:tr>
    </w:tbl>
    <w:p w14:paraId="4587A8C7" w14:textId="77777777" w:rsidR="005A445A" w:rsidRPr="00825DFE" w:rsidRDefault="005A445A" w:rsidP="005A445A">
      <w:pPr>
        <w:pStyle w:val="Heading3"/>
      </w:pPr>
      <w:r w:rsidRPr="00825DFE">
        <w:t>YEAR 2</w:t>
      </w:r>
    </w:p>
    <w:p w14:paraId="0062BA0E" w14:textId="77777777" w:rsidR="005A445A" w:rsidRPr="00CE0C66" w:rsidRDefault="005A445A" w:rsidP="005A445A">
      <w:pPr>
        <w:pStyle w:val="ListBullet"/>
        <w:numPr>
          <w:ilvl w:val="0"/>
          <w:numId w:val="6"/>
        </w:numPr>
      </w:pPr>
      <w:r w:rsidRPr="00DE00E1">
        <w:t>Nothing changes in year 2 in respect of Co</w:t>
      </w:r>
      <w:r>
        <w:t>.2</w:t>
      </w:r>
    </w:p>
    <w:p w14:paraId="668863CE" w14:textId="77777777" w:rsidR="005A445A" w:rsidRPr="00CE0C66" w:rsidRDefault="005A445A" w:rsidP="005A445A">
      <w:pPr>
        <w:pStyle w:val="ListBullet"/>
        <w:numPr>
          <w:ilvl w:val="0"/>
          <w:numId w:val="6"/>
        </w:numPr>
      </w:pPr>
      <w:r w:rsidRPr="00DE00E1">
        <w:t>The restricted de</w:t>
      </w:r>
      <w:r>
        <w:t>duction brought forward is 100</w:t>
      </w:r>
    </w:p>
    <w:p w14:paraId="1969C2F0" w14:textId="77777777" w:rsidR="005A445A" w:rsidRPr="00CE0C66" w:rsidRDefault="005A445A" w:rsidP="005A445A">
      <w:pPr>
        <w:pStyle w:val="ListBullet"/>
        <w:numPr>
          <w:ilvl w:val="0"/>
          <w:numId w:val="6"/>
        </w:numPr>
      </w:pPr>
      <w:r w:rsidRPr="00DE00E1">
        <w:t xml:space="preserve">The dual </w:t>
      </w:r>
      <w:r>
        <w:t>inclusion income remains at 100</w:t>
      </w:r>
      <w:r w:rsidRPr="00DE00E1">
        <w:t xml:space="preserve"> </w:t>
      </w:r>
    </w:p>
    <w:p w14:paraId="09681EAC" w14:textId="77777777" w:rsidR="005A445A" w:rsidRPr="00CE0C66" w:rsidRDefault="005A445A" w:rsidP="005A445A">
      <w:pPr>
        <w:pStyle w:val="ListBullet"/>
        <w:numPr>
          <w:ilvl w:val="0"/>
          <w:numId w:val="6"/>
        </w:numPr>
      </w:pPr>
      <w:r w:rsidRPr="00DE00E1">
        <w:t>The r</w:t>
      </w:r>
      <w:r w:rsidRPr="00CE0C66">
        <w:t>e</w:t>
      </w:r>
      <w:r>
        <w:t>levant deduction remains at 200</w:t>
      </w:r>
      <w:r w:rsidRPr="00CE0C66">
        <w:t xml:space="preserve"> </w:t>
      </w:r>
    </w:p>
    <w:p w14:paraId="7A6D69C6" w14:textId="77777777" w:rsidR="005A445A" w:rsidRPr="00CE0C66" w:rsidRDefault="005A445A" w:rsidP="005A445A">
      <w:pPr>
        <w:pStyle w:val="ListBullet"/>
        <w:numPr>
          <w:ilvl w:val="0"/>
          <w:numId w:val="6"/>
        </w:numPr>
      </w:pPr>
      <w:r w:rsidRPr="00DE00E1">
        <w:t xml:space="preserve">The </w:t>
      </w:r>
      <w:r w:rsidRPr="00CE0C66">
        <w:t xml:space="preserve">mismatch amount also remains at 200. </w:t>
      </w:r>
    </w:p>
    <w:p w14:paraId="527FC119" w14:textId="77777777" w:rsidR="005A445A" w:rsidRDefault="005A445A" w:rsidP="005A445A">
      <w:r w:rsidRPr="00891CDC">
        <w:t xml:space="preserve">The restricted deduction of 200 is utilised against the dual inclusion income of 100 so that the restricted deduction carried forward is </w:t>
      </w:r>
      <w:r>
        <w:t>again</w:t>
      </w:r>
      <w:r w:rsidRPr="00891CDC">
        <w:t xml:space="preserve"> 100 and is added to the restricted deduction brought forward from previous payment period. </w:t>
      </w:r>
    </w:p>
    <w:p w14:paraId="0A1FB2C7" w14:textId="77777777" w:rsidR="005A445A" w:rsidRDefault="005A445A" w:rsidP="005A445A">
      <w:r w:rsidRPr="00891CDC">
        <w:t xml:space="preserve">The total restricted deduction carried forward becomes 200 and may be utilised against any future dual inclusion income. </w:t>
      </w:r>
    </w:p>
    <w:tbl>
      <w:tblPr>
        <w:tblStyle w:val="TableGrid"/>
        <w:tblW w:w="0" w:type="auto"/>
        <w:tblLook w:val="04A0" w:firstRow="1" w:lastRow="0" w:firstColumn="1" w:lastColumn="0" w:noHBand="0" w:noVBand="1"/>
      </w:tblPr>
      <w:tblGrid>
        <w:gridCol w:w="1423"/>
        <w:gridCol w:w="1395"/>
        <w:gridCol w:w="1369"/>
        <w:gridCol w:w="1423"/>
        <w:gridCol w:w="1295"/>
        <w:gridCol w:w="1401"/>
      </w:tblGrid>
      <w:tr w:rsidR="005A445A" w:rsidRPr="00891CDC" w14:paraId="7308B690" w14:textId="77777777" w:rsidTr="0054295F">
        <w:trPr>
          <w:trHeight w:val="411"/>
        </w:trPr>
        <w:tc>
          <w:tcPr>
            <w:tcW w:w="1423" w:type="dxa"/>
            <w:hideMark/>
          </w:tcPr>
          <w:p w14:paraId="7D1A35D6" w14:textId="77777777" w:rsidR="005A445A" w:rsidRPr="00CE0C66" w:rsidRDefault="005A445A" w:rsidP="0054295F">
            <w:r w:rsidRPr="001A31FC">
              <w:lastRenderedPageBreak/>
              <w:t>Relevant Deduction</w:t>
            </w:r>
          </w:p>
        </w:tc>
        <w:tc>
          <w:tcPr>
            <w:tcW w:w="1395" w:type="dxa"/>
            <w:hideMark/>
          </w:tcPr>
          <w:p w14:paraId="71903FC3" w14:textId="77777777" w:rsidR="005A445A" w:rsidRPr="00CE0C66" w:rsidRDefault="005A445A" w:rsidP="0054295F">
            <w:r w:rsidRPr="001A31FC">
              <w:t>Restricted deduction b/f</w:t>
            </w:r>
          </w:p>
        </w:tc>
        <w:tc>
          <w:tcPr>
            <w:tcW w:w="1369" w:type="dxa"/>
            <w:hideMark/>
          </w:tcPr>
          <w:p w14:paraId="45EB00C5" w14:textId="77777777" w:rsidR="005A445A" w:rsidRPr="00CE0C66" w:rsidRDefault="005A445A" w:rsidP="0054295F">
            <w:r w:rsidRPr="001A31FC">
              <w:t>Mismatch amount</w:t>
            </w:r>
          </w:p>
        </w:tc>
        <w:tc>
          <w:tcPr>
            <w:tcW w:w="1423" w:type="dxa"/>
            <w:hideMark/>
          </w:tcPr>
          <w:p w14:paraId="638952D1" w14:textId="77777777" w:rsidR="005A445A" w:rsidRPr="00CE0C66" w:rsidRDefault="005A445A" w:rsidP="0054295F">
            <w:r w:rsidRPr="001A31FC">
              <w:t>Restricted Deduction</w:t>
            </w:r>
          </w:p>
        </w:tc>
        <w:tc>
          <w:tcPr>
            <w:tcW w:w="1295" w:type="dxa"/>
            <w:hideMark/>
          </w:tcPr>
          <w:p w14:paraId="263B002F" w14:textId="77777777" w:rsidR="005A445A" w:rsidRPr="00CE0C66" w:rsidRDefault="005A445A" w:rsidP="0054295F">
            <w:r w:rsidRPr="001A31FC">
              <w:t>Dual inclusion income</w:t>
            </w:r>
          </w:p>
        </w:tc>
        <w:tc>
          <w:tcPr>
            <w:tcW w:w="1401" w:type="dxa"/>
            <w:hideMark/>
          </w:tcPr>
          <w:p w14:paraId="4082BFE6" w14:textId="77777777" w:rsidR="005A445A" w:rsidRPr="00CE0C66" w:rsidRDefault="005A445A" w:rsidP="0054295F">
            <w:r w:rsidRPr="001A31FC">
              <w:t>Restricted deduction c/f</w:t>
            </w:r>
          </w:p>
        </w:tc>
      </w:tr>
      <w:tr w:rsidR="005A445A" w:rsidRPr="00891CDC" w14:paraId="21FEFE5F" w14:textId="77777777" w:rsidTr="0054295F">
        <w:trPr>
          <w:trHeight w:val="290"/>
        </w:trPr>
        <w:tc>
          <w:tcPr>
            <w:tcW w:w="1423" w:type="dxa"/>
            <w:hideMark/>
          </w:tcPr>
          <w:p w14:paraId="3050B49D" w14:textId="77777777" w:rsidR="005A445A" w:rsidRPr="00CE0C66" w:rsidRDefault="005A445A" w:rsidP="0054295F">
            <w:r w:rsidRPr="001A31FC">
              <w:t>200</w:t>
            </w:r>
          </w:p>
        </w:tc>
        <w:tc>
          <w:tcPr>
            <w:tcW w:w="1395" w:type="dxa"/>
            <w:hideMark/>
          </w:tcPr>
          <w:p w14:paraId="232DC015" w14:textId="77777777" w:rsidR="005A445A" w:rsidRPr="00CE0C66" w:rsidRDefault="005A445A" w:rsidP="0054295F">
            <w:r w:rsidRPr="001A31FC">
              <w:t>100</w:t>
            </w:r>
          </w:p>
        </w:tc>
        <w:tc>
          <w:tcPr>
            <w:tcW w:w="1369" w:type="dxa"/>
            <w:hideMark/>
          </w:tcPr>
          <w:p w14:paraId="2D2E9F53" w14:textId="77777777" w:rsidR="005A445A" w:rsidRPr="00CE0C66" w:rsidRDefault="005A445A" w:rsidP="0054295F">
            <w:r w:rsidRPr="001A31FC">
              <w:t>200</w:t>
            </w:r>
          </w:p>
        </w:tc>
        <w:tc>
          <w:tcPr>
            <w:tcW w:w="1423" w:type="dxa"/>
            <w:hideMark/>
          </w:tcPr>
          <w:p w14:paraId="70A307BE" w14:textId="77777777" w:rsidR="005A445A" w:rsidRPr="00CE0C66" w:rsidRDefault="005A445A" w:rsidP="0054295F">
            <w:r w:rsidRPr="001A31FC">
              <w:t>200</w:t>
            </w:r>
          </w:p>
        </w:tc>
        <w:tc>
          <w:tcPr>
            <w:tcW w:w="1295" w:type="dxa"/>
            <w:hideMark/>
          </w:tcPr>
          <w:p w14:paraId="396D0700" w14:textId="77777777" w:rsidR="005A445A" w:rsidRPr="00CE0C66" w:rsidRDefault="005A445A" w:rsidP="0054295F">
            <w:r w:rsidRPr="001A31FC">
              <w:t>100</w:t>
            </w:r>
          </w:p>
        </w:tc>
        <w:tc>
          <w:tcPr>
            <w:tcW w:w="1401" w:type="dxa"/>
            <w:hideMark/>
          </w:tcPr>
          <w:p w14:paraId="26B251F5" w14:textId="77777777" w:rsidR="005A445A" w:rsidRPr="00CE0C66" w:rsidRDefault="005A445A" w:rsidP="0054295F">
            <w:r w:rsidRPr="001A31FC">
              <w:t>200</w:t>
            </w:r>
          </w:p>
        </w:tc>
      </w:tr>
    </w:tbl>
    <w:p w14:paraId="4E71383C" w14:textId="77777777" w:rsidR="005A445A" w:rsidRPr="00825DFE" w:rsidRDefault="005A445A" w:rsidP="005A445A">
      <w:pPr>
        <w:pStyle w:val="Heading3"/>
      </w:pPr>
      <w:r w:rsidRPr="00825DFE">
        <w:t>YEAR 3</w:t>
      </w:r>
    </w:p>
    <w:p w14:paraId="688738B3" w14:textId="77777777" w:rsidR="005A445A" w:rsidRPr="00CE0C66" w:rsidRDefault="005A445A" w:rsidP="005A445A">
      <w:pPr>
        <w:pStyle w:val="ListBullet"/>
        <w:numPr>
          <w:ilvl w:val="0"/>
          <w:numId w:val="7"/>
        </w:numPr>
      </w:pPr>
      <w:r w:rsidRPr="00891CDC">
        <w:t xml:space="preserve">Loan 1 has ceased so there is </w:t>
      </w:r>
      <w:r w:rsidRPr="00CE0C66">
        <w:t>no longer a hybri</w:t>
      </w:r>
      <w:r>
        <w:t>d payer/non-inclusion mismatch</w:t>
      </w:r>
    </w:p>
    <w:p w14:paraId="2697223D" w14:textId="77777777" w:rsidR="005A445A" w:rsidRPr="00CE0C66" w:rsidRDefault="005A445A" w:rsidP="005A445A">
      <w:pPr>
        <w:pStyle w:val="ListBullet"/>
        <w:numPr>
          <w:ilvl w:val="0"/>
          <w:numId w:val="7"/>
        </w:numPr>
      </w:pPr>
      <w:r w:rsidRPr="00DE00E1">
        <w:t>100 payable under Loan 2 continues to satisfy the definition of dual income for Co</w:t>
      </w:r>
      <w:r>
        <w:t>.</w:t>
      </w:r>
      <w:r w:rsidRPr="00DE00E1">
        <w:t xml:space="preserve">2. </w:t>
      </w:r>
    </w:p>
    <w:p w14:paraId="0F0957A1" w14:textId="77777777" w:rsidR="005A445A" w:rsidRDefault="005A445A" w:rsidP="005A445A">
      <w:r w:rsidRPr="00891CDC">
        <w:t>Co</w:t>
      </w:r>
      <w:r>
        <w:t>.</w:t>
      </w:r>
      <w:r w:rsidRPr="00891CDC">
        <w:t xml:space="preserve">2 can utilise 100 of the 200 restricted deduction brought forward against that dual inclusion income. </w:t>
      </w:r>
    </w:p>
    <w:p w14:paraId="74736A51" w14:textId="77777777" w:rsidR="005A445A" w:rsidRDefault="005A445A" w:rsidP="005A445A">
      <w:r w:rsidRPr="00891CDC">
        <w:t xml:space="preserve">The remaining 100 would continue to be carried forward to subsequent periods of the hybrid payer and may be utilised against any future dual inclusion income. </w:t>
      </w:r>
    </w:p>
    <w:tbl>
      <w:tblPr>
        <w:tblStyle w:val="TableGrid"/>
        <w:tblW w:w="0" w:type="auto"/>
        <w:tblLook w:val="04A0" w:firstRow="1" w:lastRow="0" w:firstColumn="1" w:lastColumn="0" w:noHBand="0" w:noVBand="1"/>
      </w:tblPr>
      <w:tblGrid>
        <w:gridCol w:w="1419"/>
        <w:gridCol w:w="1401"/>
        <w:gridCol w:w="1365"/>
        <w:gridCol w:w="1419"/>
        <w:gridCol w:w="1291"/>
        <w:gridCol w:w="1401"/>
      </w:tblGrid>
      <w:tr w:rsidR="005A445A" w:rsidRPr="00891CDC" w14:paraId="635A9F6F" w14:textId="77777777" w:rsidTr="0054295F">
        <w:trPr>
          <w:trHeight w:val="411"/>
        </w:trPr>
        <w:tc>
          <w:tcPr>
            <w:tcW w:w="1419" w:type="dxa"/>
            <w:hideMark/>
          </w:tcPr>
          <w:p w14:paraId="0AC2936D" w14:textId="77777777" w:rsidR="005A445A" w:rsidRPr="00CE0C66" w:rsidRDefault="005A445A" w:rsidP="0054295F">
            <w:pPr>
              <w:pStyle w:val="BodyText"/>
            </w:pPr>
            <w:r w:rsidRPr="00306F00">
              <w:t>R</w:t>
            </w:r>
            <w:r>
              <w:t>el</w:t>
            </w:r>
            <w:r w:rsidRPr="00CE0C66">
              <w:t>evant Deduction</w:t>
            </w:r>
          </w:p>
        </w:tc>
        <w:tc>
          <w:tcPr>
            <w:tcW w:w="1401" w:type="dxa"/>
            <w:hideMark/>
          </w:tcPr>
          <w:p w14:paraId="659E6296" w14:textId="77777777" w:rsidR="005A445A" w:rsidRPr="00CE0C66" w:rsidRDefault="005A445A" w:rsidP="0054295F">
            <w:r w:rsidRPr="001A31FC">
              <w:t>Restricted deduction b/f</w:t>
            </w:r>
          </w:p>
        </w:tc>
        <w:tc>
          <w:tcPr>
            <w:tcW w:w="1365" w:type="dxa"/>
            <w:hideMark/>
          </w:tcPr>
          <w:p w14:paraId="0838F1DB" w14:textId="77777777" w:rsidR="005A445A" w:rsidRPr="00CE0C66" w:rsidRDefault="005A445A" w:rsidP="0054295F">
            <w:r w:rsidRPr="001A31FC">
              <w:t>Mismatch amount</w:t>
            </w:r>
          </w:p>
        </w:tc>
        <w:tc>
          <w:tcPr>
            <w:tcW w:w="1419" w:type="dxa"/>
            <w:hideMark/>
          </w:tcPr>
          <w:p w14:paraId="0BA31E7A" w14:textId="77777777" w:rsidR="005A445A" w:rsidRPr="00CE0C66" w:rsidRDefault="005A445A" w:rsidP="0054295F">
            <w:r w:rsidRPr="001A31FC">
              <w:t>Restricted Deduction</w:t>
            </w:r>
          </w:p>
        </w:tc>
        <w:tc>
          <w:tcPr>
            <w:tcW w:w="1291" w:type="dxa"/>
            <w:hideMark/>
          </w:tcPr>
          <w:p w14:paraId="0BD4DF7A" w14:textId="77777777" w:rsidR="005A445A" w:rsidRPr="00CE0C66" w:rsidRDefault="005A445A" w:rsidP="0054295F">
            <w:r w:rsidRPr="001A31FC">
              <w:t>Dual inclusion income</w:t>
            </w:r>
          </w:p>
        </w:tc>
        <w:tc>
          <w:tcPr>
            <w:tcW w:w="1401" w:type="dxa"/>
            <w:hideMark/>
          </w:tcPr>
          <w:p w14:paraId="008E04CB" w14:textId="77777777" w:rsidR="005A445A" w:rsidRPr="00CE0C66" w:rsidRDefault="005A445A" w:rsidP="0054295F">
            <w:r w:rsidRPr="001A31FC">
              <w:t>Restricted deduction c/f</w:t>
            </w:r>
          </w:p>
        </w:tc>
      </w:tr>
      <w:tr w:rsidR="005A445A" w:rsidRPr="00891CDC" w14:paraId="4165EF4F" w14:textId="77777777" w:rsidTr="0054295F">
        <w:trPr>
          <w:trHeight w:val="290"/>
        </w:trPr>
        <w:tc>
          <w:tcPr>
            <w:tcW w:w="1419" w:type="dxa"/>
            <w:hideMark/>
          </w:tcPr>
          <w:p w14:paraId="26A34E4D" w14:textId="77777777" w:rsidR="005A445A" w:rsidRPr="00CE0C66" w:rsidRDefault="005A445A" w:rsidP="0054295F">
            <w:r w:rsidRPr="001A31FC">
              <w:t>nil</w:t>
            </w:r>
          </w:p>
        </w:tc>
        <w:tc>
          <w:tcPr>
            <w:tcW w:w="1401" w:type="dxa"/>
            <w:hideMark/>
          </w:tcPr>
          <w:p w14:paraId="61FFB145" w14:textId="77777777" w:rsidR="005A445A" w:rsidRPr="00CE0C66" w:rsidRDefault="005A445A" w:rsidP="0054295F">
            <w:r w:rsidRPr="001A31FC">
              <w:t>200</w:t>
            </w:r>
          </w:p>
        </w:tc>
        <w:tc>
          <w:tcPr>
            <w:tcW w:w="1365" w:type="dxa"/>
            <w:hideMark/>
          </w:tcPr>
          <w:p w14:paraId="294080FB" w14:textId="77777777" w:rsidR="005A445A" w:rsidRPr="00CE0C66" w:rsidRDefault="005A445A" w:rsidP="0054295F">
            <w:r w:rsidRPr="001A31FC">
              <w:t>Nil</w:t>
            </w:r>
          </w:p>
        </w:tc>
        <w:tc>
          <w:tcPr>
            <w:tcW w:w="1419" w:type="dxa"/>
            <w:hideMark/>
          </w:tcPr>
          <w:p w14:paraId="2AA0D9A7" w14:textId="77777777" w:rsidR="005A445A" w:rsidRPr="00CE0C66" w:rsidRDefault="005A445A" w:rsidP="0054295F">
            <w:r w:rsidRPr="001A31FC">
              <w:t>Nil</w:t>
            </w:r>
          </w:p>
        </w:tc>
        <w:tc>
          <w:tcPr>
            <w:tcW w:w="1291" w:type="dxa"/>
            <w:hideMark/>
          </w:tcPr>
          <w:p w14:paraId="77CAA58B" w14:textId="77777777" w:rsidR="005A445A" w:rsidRPr="00CE0C66" w:rsidRDefault="005A445A" w:rsidP="0054295F">
            <w:r w:rsidRPr="001A31FC">
              <w:t>100</w:t>
            </w:r>
          </w:p>
        </w:tc>
        <w:tc>
          <w:tcPr>
            <w:tcW w:w="1401" w:type="dxa"/>
            <w:hideMark/>
          </w:tcPr>
          <w:p w14:paraId="343DC972" w14:textId="77777777" w:rsidR="005A445A" w:rsidRPr="00CE0C66" w:rsidRDefault="005A445A" w:rsidP="0054295F">
            <w:r w:rsidRPr="001A31FC">
              <w:t>100</w:t>
            </w:r>
          </w:p>
        </w:tc>
      </w:tr>
    </w:tbl>
    <w:p w14:paraId="7E9A7BD1" w14:textId="77777777" w:rsidR="005A445A" w:rsidRDefault="005A445A" w:rsidP="005A445A">
      <w:pPr>
        <w:spacing w:after="0"/>
      </w:pPr>
    </w:p>
    <w:p w14:paraId="078D0421" w14:textId="77777777" w:rsidR="005A445A" w:rsidRDefault="005A445A" w:rsidP="005A445A">
      <w:r w:rsidRPr="00891CDC">
        <w:t>If Loan 2 ceases in Year 4</w:t>
      </w:r>
      <w:r>
        <w:t>,</w:t>
      </w:r>
      <w:r w:rsidRPr="00891CDC">
        <w:t xml:space="preserve"> so that there is no future dual inclusion income</w:t>
      </w:r>
      <w:r>
        <w:t>,</w:t>
      </w:r>
      <w:r w:rsidRPr="00891CDC">
        <w:t xml:space="preserve"> then the 100 restricted deduction brought forward will no longer be relievable.</w:t>
      </w:r>
      <w:r>
        <w:t xml:space="preserve"> </w:t>
      </w:r>
      <w:r w:rsidRPr="00891CDC">
        <w:t>As the corresponding receipt to Loan</w:t>
      </w:r>
      <w:r>
        <w:t xml:space="preserve"> </w:t>
      </w:r>
      <w:r w:rsidRPr="00891CDC">
        <w:t>1 will remain non-included</w:t>
      </w:r>
      <w:r>
        <w:t>,</w:t>
      </w:r>
      <w:r w:rsidRPr="00891CDC">
        <w:t xml:space="preserve"> this does not create a double taxation issue</w:t>
      </w:r>
      <w:r>
        <w:t>,</w:t>
      </w:r>
      <w:r w:rsidRPr="00891CDC">
        <w:t xml:space="preserve"> and is line with the underlying principles of the rule. </w:t>
      </w:r>
    </w:p>
    <w:bookmarkStart w:id="0" w:name="_INTM554000:_Hybrids:_Chapter"/>
    <w:bookmarkStart w:id="1" w:name="_Hlk90048850"/>
    <w:bookmarkStart w:id="2" w:name="_Hlk90049141"/>
    <w:bookmarkEnd w:id="0"/>
    <w:p w14:paraId="2E9C8EFF" w14:textId="77777777" w:rsidR="00BC0684" w:rsidRDefault="00BC0684" w:rsidP="00BC0684">
      <w:r>
        <w:fldChar w:fldCharType="begin"/>
      </w:r>
      <w:r>
        <w:instrText>HYPERLINK "https://www.gov.uk/hmrc-internal-manuals/international-manual/intm550000"</w:instrText>
      </w:r>
      <w:r>
        <w:fldChar w:fldCharType="separate"/>
      </w:r>
      <w:r>
        <w:rPr>
          <w:rStyle w:val="Hyperlink"/>
        </w:rPr>
        <w:t>Return to contents</w:t>
      </w:r>
      <w:r>
        <w:fldChar w:fldCharType="end"/>
      </w:r>
      <w:bookmarkEnd w:id="1"/>
      <w:r>
        <w:t xml:space="preserve"> </w:t>
      </w:r>
      <w:bookmarkEnd w:id="2"/>
    </w:p>
    <w:p w14:paraId="63C3882E" w14:textId="5BAB06EB" w:rsidR="00714BF2" w:rsidRPr="005A445A" w:rsidRDefault="006C3BA5" w:rsidP="005A445A">
      <w:pPr>
        <w:spacing w:after="160" w:line="259" w:lineRule="auto"/>
        <w:rPr>
          <w:color w:val="0000FF"/>
          <w:u w:val="single"/>
        </w:rPr>
      </w:pPr>
    </w:p>
    <w:sectPr w:rsidR="00714BF2" w:rsidRPr="005A445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22ECA9" w14:textId="77777777" w:rsidR="006C3BA5" w:rsidRDefault="006C3BA5" w:rsidP="005A445A">
      <w:pPr>
        <w:spacing w:after="0"/>
      </w:pPr>
      <w:r>
        <w:separator/>
      </w:r>
    </w:p>
  </w:endnote>
  <w:endnote w:type="continuationSeparator" w:id="0">
    <w:p w14:paraId="12E7E461" w14:textId="77777777" w:rsidR="006C3BA5" w:rsidRDefault="006C3BA5" w:rsidP="005A44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75CEE" w14:textId="77777777" w:rsidR="00BC0684" w:rsidRDefault="00BC06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4ADA4" w14:textId="22248E2B" w:rsidR="005A445A" w:rsidRDefault="005A445A">
    <w:pPr>
      <w:pStyle w:val="Footer"/>
    </w:pPr>
    <w:r>
      <w:rPr>
        <w:noProof/>
      </w:rPr>
      <mc:AlternateContent>
        <mc:Choice Requires="wps">
          <w:drawing>
            <wp:anchor distT="0" distB="0" distL="114300" distR="114300" simplePos="0" relativeHeight="251659264" behindDoc="0" locked="0" layoutInCell="0" allowOverlap="1" wp14:anchorId="6F6EDE29" wp14:editId="301B5C01">
              <wp:simplePos x="0" y="0"/>
              <wp:positionH relativeFrom="page">
                <wp:posOffset>0</wp:posOffset>
              </wp:positionH>
              <wp:positionV relativeFrom="page">
                <wp:posOffset>10227945</wp:posOffset>
              </wp:positionV>
              <wp:extent cx="7560310" cy="273050"/>
              <wp:effectExtent l="0" t="0" r="0" b="12700"/>
              <wp:wrapNone/>
              <wp:docPr id="1" name="MSIPCM312e46a3876e28ddbd313668"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38A994" w14:textId="5875FE7B" w:rsidR="005A445A" w:rsidRPr="005A445A" w:rsidRDefault="005A445A" w:rsidP="005A445A">
                          <w:pPr>
                            <w:spacing w:after="0"/>
                            <w:jc w:val="center"/>
                            <w:rPr>
                              <w:rFonts w:ascii="Calibri" w:hAnsi="Calibri" w:cs="Calibri"/>
                              <w:color w:val="000000"/>
                              <w:sz w:val="20"/>
                            </w:rPr>
                          </w:pPr>
                          <w:r w:rsidRPr="005A445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F6EDE29" id="_x0000_t202" coordsize="21600,21600" o:spt="202" path="m,l,21600r21600,l21600,xe">
              <v:stroke joinstyle="miter"/>
              <v:path gradientshapeok="t" o:connecttype="rect"/>
            </v:shapetype>
            <v:shape id="MSIPCM312e46a3876e28ddbd313668" o:spid="_x0000_s1026" type="#_x0000_t202" alt="{&quot;HashCode&quot;:-1264847310,&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pDxrgIAAEcFAAAOAAAAZHJzL2Uyb0RvYy54bWysVEtv2zAMvg/YfxB02Gmr7Tyc1KtTZCmy&#10;FUjbAOnQsyLLsQFbVCWlcTbsv4+y5fSxnYZdbIqk+Pj4UReXTV2RJ6FNCTKl0VlIiZAcslLuUvr9&#10;fvlpSomxTGasAilSehSGXs7ev7s4qEQMoIAqE5pgEGmSg0ppYa1KgsDwQtTMnIESEo056JpZPOpd&#10;kGl2wOh1FQzCMA4OoDOlgQtjUHvVGemsjZ/ngtu7PDfCkiqlWJttv7r9bt03mF2wZKeZKkruy2D/&#10;UEXNSolJT6GumGVkr8s/QtUl12Agt2cc6gDyvOSi7QG7icI33WwKpkTbC4Jj1Akm8//C8tuntSZl&#10;hrOjRLIaR3SzuV4vbobRQIxiNpxOYjGYZtk2G0bDOMZxZsJwRPDnh8c92M/fmCkWkInulHyKBvFo&#10;OpoMo/CjdxDlrrDePB0hRbzhocxs4fXj8/FJv64YF7WQ/Z3OZQlghe5kH+BaZqLxAbrfWpc108dX&#10;XhvkAJLT+0X+7j0orwlPiVci73Oi8pfjxkGZBCHaKATJNl+gcTh5vUGlG3mT69r9cZgE7ciy44lZ&#10;orGEo3IyjkOEhBKOtsFkGI5b6gXPt5U29quAmjghpRqrbgnFnlbGYkZ07V1cMgnLsqpa9laSHFIa&#10;DzHkKwveqCRedD10tTrJNtvGN7CF7Ih9aei2wii+LDH5ihm7ZhrXAOvF1bZ3+MkrwCTgJUoK0D/+&#10;pnf+yE60UnLAtUqpedwzLSipriXy9jwajdwetgcU9EvtttfKfb0A3FjkJFbVis7XVr2Ya6gfcPPn&#10;LhuamOSYM6XbXlxYPKEBXw4u5vNWxo1TzK7kRnEX2oHlIL1vHphWHneLE7uFfvFY8gb+zreDeb63&#10;kJftbBywHZoeb9zWdmT+ZXHPwctz6/X8/s1+AwAA//8DAFBLAwQUAAYACAAAACEAn9VB7N8AAAAL&#10;AQAADwAAAGRycy9kb3ducmV2LnhtbEyPzU7DMBCE70h9B2uRuFE7BVIa4lQIxAUJVS2IsxNvfpp4&#10;HcVum7w9zoked2Y0+026HU3Hzji4xpKEaCmAIRVWN1RJ+Pn+uH8G5rwirTpLKGFCB9tscZOqRNsL&#10;7fF88BULJeQSJaH2vk84d0WNRrml7ZGCV9rBKB/OoeJ6UJdQbjq+EiLmRjUUPtSqx7cai/ZwMhIe&#10;d5u85MfWHL+mz2lq2vL3PS+lvLsdX1+AeRz9fxhm/IAOWWDK7Ym0Y52EMMQHNY7EGtjsRxsRA8tn&#10;7elhDTxL+fWG7A8AAP//AwBQSwECLQAUAAYACAAAACEAtoM4kv4AAADhAQAAEwAAAAAAAAAAAAAA&#10;AAAAAAAAW0NvbnRlbnRfVHlwZXNdLnhtbFBLAQItABQABgAIAAAAIQA4/SH/1gAAAJQBAAALAAAA&#10;AAAAAAAAAAAAAC8BAABfcmVscy8ucmVsc1BLAQItABQABgAIAAAAIQBLzpDxrgIAAEcFAAAOAAAA&#10;AAAAAAAAAAAAAC4CAABkcnMvZTJvRG9jLnhtbFBLAQItABQABgAIAAAAIQCf1UHs3wAAAAsBAAAP&#10;AAAAAAAAAAAAAAAAAAgFAABkcnMvZG93bnJldi54bWxQSwUGAAAAAAQABADzAAAAFAYAAAAA&#10;" o:allowincell="f" filled="f" stroked="f" strokeweight=".5pt">
              <v:fill o:detectmouseclick="t"/>
              <v:textbox inset=",0,,0">
                <w:txbxContent>
                  <w:p w14:paraId="6938A994" w14:textId="5875FE7B" w:rsidR="005A445A" w:rsidRPr="005A445A" w:rsidRDefault="005A445A" w:rsidP="005A445A">
                    <w:pPr>
                      <w:spacing w:after="0"/>
                      <w:jc w:val="center"/>
                      <w:rPr>
                        <w:rFonts w:ascii="Calibri" w:hAnsi="Calibri" w:cs="Calibri"/>
                        <w:color w:val="000000"/>
                        <w:sz w:val="20"/>
                      </w:rPr>
                    </w:pPr>
                    <w:r w:rsidRPr="005A445A">
                      <w:rPr>
                        <w:rFonts w:ascii="Calibri" w:hAnsi="Calibri" w:cs="Calibri"/>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74669" w14:textId="77777777" w:rsidR="00BC0684" w:rsidRDefault="00BC0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878EA" w14:textId="77777777" w:rsidR="006C3BA5" w:rsidRDefault="006C3BA5" w:rsidP="005A445A">
      <w:pPr>
        <w:spacing w:after="0"/>
      </w:pPr>
      <w:r>
        <w:separator/>
      </w:r>
    </w:p>
  </w:footnote>
  <w:footnote w:type="continuationSeparator" w:id="0">
    <w:p w14:paraId="1F3440C9" w14:textId="77777777" w:rsidR="006C3BA5" w:rsidRDefault="006C3BA5" w:rsidP="005A44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76501" w14:textId="77777777" w:rsidR="00BC0684" w:rsidRDefault="00BC06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7B6C1" w14:textId="77777777" w:rsidR="00BC0684" w:rsidRDefault="00BC06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5D89C3" w14:textId="77777777" w:rsidR="00BC0684" w:rsidRDefault="00BC06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2432F"/>
    <w:multiLevelType w:val="hybridMultilevel"/>
    <w:tmpl w:val="25E4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FD1A76"/>
    <w:multiLevelType w:val="hybridMultilevel"/>
    <w:tmpl w:val="CD1C2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A43D9C"/>
    <w:multiLevelType w:val="hybridMultilevel"/>
    <w:tmpl w:val="B1744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1E4EBE"/>
    <w:multiLevelType w:val="hybridMultilevel"/>
    <w:tmpl w:val="40321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8052E7"/>
    <w:multiLevelType w:val="hybridMultilevel"/>
    <w:tmpl w:val="695C8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3627CA"/>
    <w:multiLevelType w:val="hybridMultilevel"/>
    <w:tmpl w:val="64489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8A386A"/>
    <w:multiLevelType w:val="hybridMultilevel"/>
    <w:tmpl w:val="ECC6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5A"/>
    <w:rsid w:val="001F0F8E"/>
    <w:rsid w:val="005A445A"/>
    <w:rsid w:val="006C3BA5"/>
    <w:rsid w:val="007F5080"/>
    <w:rsid w:val="00BC0684"/>
    <w:rsid w:val="00EA0CE8"/>
    <w:rsid w:val="00EB1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C3E6C5"/>
  <w15:chartTrackingRefBased/>
  <w15:docId w15:val="{A88FFA04-0942-4D8B-887A-3BB8FA6B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5A445A"/>
    <w:pPr>
      <w:spacing w:after="240" w:line="240" w:lineRule="auto"/>
    </w:pPr>
    <w:rPr>
      <w:rFonts w:ascii="Arial" w:eastAsia="Times New Roman" w:hAnsi="Arial" w:cs="Times New Roman"/>
      <w:sz w:val="24"/>
      <w:szCs w:val="20"/>
      <w:lang w:eastAsia="en-GB"/>
    </w:rPr>
  </w:style>
  <w:style w:type="paragraph" w:styleId="Heading1">
    <w:name w:val="heading 1"/>
    <w:basedOn w:val="Normal"/>
    <w:next w:val="BodyText"/>
    <w:link w:val="Heading1Char"/>
    <w:uiPriority w:val="9"/>
    <w:qFormat/>
    <w:rsid w:val="005A445A"/>
    <w:pPr>
      <w:keepNext/>
      <w:keepLines/>
      <w:outlineLvl w:val="0"/>
    </w:pPr>
    <w:rPr>
      <w:rFonts w:cs="Arial"/>
      <w:b/>
      <w:bCs/>
      <w:kern w:val="28"/>
      <w:sz w:val="40"/>
      <w:szCs w:val="32"/>
    </w:rPr>
  </w:style>
  <w:style w:type="paragraph" w:styleId="Heading2">
    <w:name w:val="heading 2"/>
    <w:basedOn w:val="Normal"/>
    <w:next w:val="BodyText"/>
    <w:link w:val="Heading2Char"/>
    <w:uiPriority w:val="9"/>
    <w:qFormat/>
    <w:rsid w:val="005A445A"/>
    <w:pPr>
      <w:keepNext/>
      <w:spacing w:before="120"/>
      <w:outlineLvl w:val="1"/>
    </w:pPr>
    <w:rPr>
      <w:rFonts w:cs="Arial"/>
      <w:b/>
      <w:bCs/>
      <w:iCs/>
      <w:sz w:val="32"/>
      <w:szCs w:val="28"/>
    </w:rPr>
  </w:style>
  <w:style w:type="paragraph" w:styleId="Heading3">
    <w:name w:val="heading 3"/>
    <w:basedOn w:val="Heading2"/>
    <w:next w:val="BodyText"/>
    <w:link w:val="Heading3Char"/>
    <w:uiPriority w:val="9"/>
    <w:qFormat/>
    <w:rsid w:val="005A445A"/>
    <w:pPr>
      <w:outlineLvl w:val="2"/>
    </w:pPr>
    <w:rPr>
      <w:bCs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445A"/>
    <w:rPr>
      <w:rFonts w:ascii="Arial" w:eastAsia="Times New Roman" w:hAnsi="Arial" w:cs="Arial"/>
      <w:b/>
      <w:bCs/>
      <w:kern w:val="28"/>
      <w:sz w:val="40"/>
      <w:szCs w:val="32"/>
      <w:lang w:eastAsia="en-GB"/>
    </w:rPr>
  </w:style>
  <w:style w:type="character" w:customStyle="1" w:styleId="Heading2Char">
    <w:name w:val="Heading 2 Char"/>
    <w:basedOn w:val="DefaultParagraphFont"/>
    <w:link w:val="Heading2"/>
    <w:uiPriority w:val="9"/>
    <w:rsid w:val="005A445A"/>
    <w:rPr>
      <w:rFonts w:ascii="Arial" w:eastAsia="Times New Roman" w:hAnsi="Arial" w:cs="Arial"/>
      <w:b/>
      <w:bCs/>
      <w:iCs/>
      <w:sz w:val="32"/>
      <w:szCs w:val="28"/>
      <w:lang w:eastAsia="en-GB"/>
    </w:rPr>
  </w:style>
  <w:style w:type="character" w:customStyle="1" w:styleId="Heading3Char">
    <w:name w:val="Heading 3 Char"/>
    <w:basedOn w:val="DefaultParagraphFont"/>
    <w:link w:val="Heading3"/>
    <w:uiPriority w:val="9"/>
    <w:rsid w:val="005A445A"/>
    <w:rPr>
      <w:rFonts w:ascii="Arial" w:eastAsia="Times New Roman" w:hAnsi="Arial" w:cs="Arial"/>
      <w:b/>
      <w:iCs/>
      <w:sz w:val="24"/>
      <w:szCs w:val="26"/>
      <w:lang w:eastAsia="en-GB"/>
    </w:rPr>
  </w:style>
  <w:style w:type="paragraph" w:styleId="BodyText">
    <w:name w:val="Body Text"/>
    <w:basedOn w:val="Normal"/>
    <w:link w:val="BodyTextChar"/>
    <w:rsid w:val="005A445A"/>
  </w:style>
  <w:style w:type="character" w:customStyle="1" w:styleId="BodyTextChar">
    <w:name w:val="Body Text Char"/>
    <w:basedOn w:val="DefaultParagraphFont"/>
    <w:link w:val="BodyText"/>
    <w:rsid w:val="005A445A"/>
    <w:rPr>
      <w:rFonts w:ascii="Arial" w:eastAsia="Times New Roman" w:hAnsi="Arial" w:cs="Times New Roman"/>
      <w:sz w:val="24"/>
      <w:szCs w:val="20"/>
      <w:lang w:eastAsia="en-GB"/>
    </w:rPr>
  </w:style>
  <w:style w:type="character" w:styleId="Hyperlink">
    <w:name w:val="Hyperlink"/>
    <w:uiPriority w:val="99"/>
    <w:rsid w:val="005A445A"/>
    <w:rPr>
      <w:rFonts w:ascii="Arial" w:hAnsi="Arial"/>
      <w:color w:val="0000FF"/>
      <w:sz w:val="24"/>
      <w:u w:val="single"/>
    </w:rPr>
  </w:style>
  <w:style w:type="paragraph" w:styleId="ListBullet">
    <w:name w:val="List Bullet"/>
    <w:basedOn w:val="BodyText"/>
    <w:rsid w:val="005A445A"/>
  </w:style>
  <w:style w:type="table" w:styleId="TableGrid">
    <w:name w:val="Table Grid"/>
    <w:basedOn w:val="TableNormal"/>
    <w:uiPriority w:val="39"/>
    <w:rsid w:val="005A445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445A"/>
    <w:pPr>
      <w:tabs>
        <w:tab w:val="center" w:pos="4513"/>
        <w:tab w:val="right" w:pos="9026"/>
      </w:tabs>
      <w:spacing w:after="0"/>
    </w:pPr>
  </w:style>
  <w:style w:type="character" w:customStyle="1" w:styleId="HeaderChar">
    <w:name w:val="Header Char"/>
    <w:basedOn w:val="DefaultParagraphFont"/>
    <w:link w:val="Header"/>
    <w:uiPriority w:val="99"/>
    <w:rsid w:val="005A445A"/>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A445A"/>
    <w:pPr>
      <w:tabs>
        <w:tab w:val="center" w:pos="4513"/>
        <w:tab w:val="right" w:pos="9026"/>
      </w:tabs>
      <w:spacing w:after="0"/>
    </w:pPr>
  </w:style>
  <w:style w:type="character" w:customStyle="1" w:styleId="FooterChar">
    <w:name w:val="Footer Char"/>
    <w:basedOn w:val="DefaultParagraphFont"/>
    <w:link w:val="Footer"/>
    <w:uiPriority w:val="99"/>
    <w:rsid w:val="005A445A"/>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mrc.gov.uk/gds/intm/attachments/INTM553250.docx"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D18433AF74A4EBB5B6F5E327EBF4D" ma:contentTypeVersion="12" ma:contentTypeDescription="Create a new document." ma:contentTypeScope="" ma:versionID="3ebf08c28007acb212aac7d9c7e48ff7">
  <xsd:schema xmlns:xsd="http://www.w3.org/2001/XMLSchema" xmlns:xs="http://www.w3.org/2001/XMLSchema" xmlns:p="http://schemas.microsoft.com/office/2006/metadata/properties" xmlns:ns2="417865cd-4129-408b-a079-f246660bbdb5" xmlns:ns3="0f2d7795-f8ec-4d3c-929f-0e5668c51a48" targetNamespace="http://schemas.microsoft.com/office/2006/metadata/properties" ma:root="true" ma:fieldsID="3334006b85fcb72ef50f90033308db4d" ns2:_="" ns3:_="">
    <xsd:import namespace="417865cd-4129-408b-a079-f246660bbdb5"/>
    <xsd:import namespace="0f2d7795-f8ec-4d3c-929f-0e5668c51a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865cd-4129-408b-a079-f246660bbd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2d7795-f8ec-4d3c-929f-0e5668c51a4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DC8757-CD82-44BA-81BE-BA55E3A0B84F}"/>
</file>

<file path=customXml/itemProps2.xml><?xml version="1.0" encoding="utf-8"?>
<ds:datastoreItem xmlns:ds="http://schemas.openxmlformats.org/officeDocument/2006/customXml" ds:itemID="{AB1D8489-24E4-494F-98A1-3F3733DBFA99}"/>
</file>

<file path=customXml/itemProps3.xml><?xml version="1.0" encoding="utf-8"?>
<ds:datastoreItem xmlns:ds="http://schemas.openxmlformats.org/officeDocument/2006/customXml" ds:itemID="{61934636-548B-45C8-AF53-E915B37B29A0}"/>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3112</Characters>
  <Application>Microsoft Office Word</Application>
  <DocSecurity>0</DocSecurity>
  <Lines>25</Lines>
  <Paragraphs>7</Paragraphs>
  <ScaleCrop>false</ScaleCrop>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Paul (CS&amp;TD Business, Assets &amp; International)</dc:creator>
  <cp:keywords/>
  <dc:description/>
  <cp:lastModifiedBy>Duncan, Paul (CS&amp;TD Business, Assets &amp; International)</cp:lastModifiedBy>
  <cp:revision>2</cp:revision>
  <dcterms:created xsi:type="dcterms:W3CDTF">2021-12-10T16:43:00Z</dcterms:created>
  <dcterms:modified xsi:type="dcterms:W3CDTF">2021-12-10T17:29:00Z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9af038e-07b4-4369-a678-c835687cb272_Enabled">
    <vt:lpwstr>true</vt:lpwstr>
  </property>
  <property fmtid="{D5CDD505-2E9C-101B-9397-08002B2CF9AE}" pid="3" name="MSIP_Label_f9af038e-07b4-4369-a678-c835687cb272_SetDate">
    <vt:lpwstr>2021-12-10T16:43:51Z</vt:lpwstr>
  </property>
  <property fmtid="{D5CDD505-2E9C-101B-9397-08002B2CF9AE}" pid="4" name="MSIP_Label_f9af038e-07b4-4369-a678-c835687cb272_Method">
    <vt:lpwstr>Standard</vt:lpwstr>
  </property>
  <property fmtid="{D5CDD505-2E9C-101B-9397-08002B2CF9AE}" pid="5" name="MSIP_Label_f9af038e-07b4-4369-a678-c835687cb272_Name">
    <vt:lpwstr>OFFICIAL</vt:lpwstr>
  </property>
  <property fmtid="{D5CDD505-2E9C-101B-9397-08002B2CF9AE}" pid="6" name="MSIP_Label_f9af038e-07b4-4369-a678-c835687cb272_SiteId">
    <vt:lpwstr>ac52f73c-fd1a-4a9a-8e7a-4a248f3139e1</vt:lpwstr>
  </property>
  <property fmtid="{D5CDD505-2E9C-101B-9397-08002B2CF9AE}" pid="7" name="MSIP_Label_f9af038e-07b4-4369-a678-c835687cb272_ActionId">
    <vt:lpwstr>b3986fb3-de25-4206-b2c6-d00cb1f89e72</vt:lpwstr>
  </property>
  <property fmtid="{D5CDD505-2E9C-101B-9397-08002B2CF9AE}" pid="8" name="MSIP_Label_f9af038e-07b4-4369-a678-c835687cb272_ContentBits">
    <vt:lpwstr>2</vt:lpwstr>
  </property>
  <property fmtid="{D5CDD505-2E9C-101B-9397-08002B2CF9AE}" pid="9" name="ContentTypeId">
    <vt:lpwstr>0x010100548D18433AF74A4EBB5B6F5E327EBF4D</vt:lpwstr>
  </property>
</Properties>
</file>