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F514" w14:textId="77777777" w:rsidR="00F37D6B" w:rsidRDefault="00F37D6B" w:rsidP="00F37D6B">
      <w:pPr>
        <w:pStyle w:val="Heading1"/>
      </w:pPr>
      <w:r>
        <w:t>INTM552490</w:t>
      </w:r>
      <w:r w:rsidRPr="00973BD2">
        <w:t xml:space="preserve">: Hybrids: </w:t>
      </w:r>
      <w:r>
        <w:t>Hybrid transfers (Chapter 4)</w:t>
      </w:r>
      <w:r w:rsidRPr="00973BD2">
        <w:t>: Example</w:t>
      </w:r>
      <w:r>
        <w:t>s</w:t>
      </w:r>
      <w:r w:rsidRPr="00973BD2">
        <w:t xml:space="preserve">: </w:t>
      </w:r>
      <w:r>
        <w:t>Simple r</w:t>
      </w:r>
      <w:r w:rsidRPr="00973BD2">
        <w:t>epo</w:t>
      </w:r>
      <w:r>
        <w:t xml:space="preserve"> transaction - no mismatch</w:t>
      </w:r>
      <w:r w:rsidRPr="00973BD2">
        <w:t xml:space="preserve"> </w:t>
      </w:r>
    </w:p>
    <w:p w14:paraId="7F2CE497" w14:textId="77777777" w:rsidR="00F37D6B" w:rsidRDefault="00F37D6B" w:rsidP="00F37D6B">
      <w:r>
        <w:t xml:space="preserve">This example illustrates a straightforward repo transaction between related parties, in which both parties are treated as entering into a financing transaction for tax purposes.  U Co benefits from a tax deduction for the funding cost on the in-substance secured loan and C Co is taxed on a corresponding amount of income. </w:t>
      </w:r>
    </w:p>
    <w:p w14:paraId="784A7D5F" w14:textId="77777777" w:rsidR="00F37D6B" w:rsidRDefault="00F37D6B" w:rsidP="00F37D6B">
      <w:r>
        <w:rPr>
          <w:noProof/>
        </w:rPr>
        <w:drawing>
          <wp:inline distT="0" distB="0" distL="0" distR="0" wp14:anchorId="0A6D99D1" wp14:editId="29B29CE0">
            <wp:extent cx="3391535" cy="2257425"/>
            <wp:effectExtent l="0" t="0" r="0" b="9525"/>
            <wp:docPr id="442" name="Picture 442" descr="This example illustrates a straightforward repo transaction between related parties, in which both parties are treated as entering into a financing transaction for tax purposes.  U Co benefits from a tax deduction for the funding cost on the in-substance secured loan and C Co is taxed on a corresponding amount of income. " title="INTM552490: Hybrids: Chapter 4 - Hybrid transfers: Examples: Simple repo transaction: No mismatch aris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8A3EA" w14:textId="77777777" w:rsidR="00F37D6B" w:rsidRPr="00973BD2" w:rsidRDefault="00F37D6B" w:rsidP="00F37D6B">
      <w:pPr>
        <w:pStyle w:val="Heading2"/>
      </w:pPr>
      <w:r w:rsidRPr="00973BD2">
        <w:t xml:space="preserve">Background </w:t>
      </w:r>
    </w:p>
    <w:p w14:paraId="32753255" w14:textId="77777777" w:rsidR="00F37D6B" w:rsidRDefault="00F37D6B" w:rsidP="00F37D6B">
      <w:pPr>
        <w:pStyle w:val="ListParagraph"/>
        <w:numPr>
          <w:ilvl w:val="0"/>
          <w:numId w:val="1"/>
        </w:numPr>
      </w:pPr>
      <w:r w:rsidRPr="00DA529C">
        <w:t xml:space="preserve">U Co is resident in the UK. </w:t>
      </w:r>
    </w:p>
    <w:p w14:paraId="5518B70D" w14:textId="77777777" w:rsidR="00F37D6B" w:rsidRPr="00DA529C" w:rsidRDefault="00F37D6B" w:rsidP="00F37D6B">
      <w:pPr>
        <w:pStyle w:val="ListParagraph"/>
        <w:ind w:left="360"/>
      </w:pPr>
    </w:p>
    <w:p w14:paraId="30335533" w14:textId="77777777" w:rsidR="00F37D6B" w:rsidRDefault="00F37D6B" w:rsidP="00F37D6B">
      <w:pPr>
        <w:pStyle w:val="ListParagraph"/>
        <w:numPr>
          <w:ilvl w:val="0"/>
          <w:numId w:val="1"/>
        </w:numPr>
      </w:pPr>
      <w:r w:rsidRPr="00DA529C">
        <w:t>U Co holds a portfolio shareholding in I Co.</w:t>
      </w:r>
    </w:p>
    <w:p w14:paraId="3C585973" w14:textId="77777777" w:rsidR="00F37D6B" w:rsidRDefault="00F37D6B" w:rsidP="00F37D6B">
      <w:pPr>
        <w:pStyle w:val="ListParagraph"/>
      </w:pPr>
    </w:p>
    <w:p w14:paraId="246C550A" w14:textId="77777777" w:rsidR="00F37D6B" w:rsidRDefault="00F37D6B" w:rsidP="00F37D6B">
      <w:pPr>
        <w:pStyle w:val="ListParagraph"/>
        <w:numPr>
          <w:ilvl w:val="0"/>
          <w:numId w:val="1"/>
        </w:numPr>
      </w:pPr>
      <w:r w:rsidRPr="00DA529C">
        <w:t>U Co sells its shares in I Co to a related company, C Co</w:t>
      </w:r>
      <w:r>
        <w:t xml:space="preserve">, </w:t>
      </w:r>
      <w:r w:rsidRPr="00DA529C">
        <w:t>for £100m</w:t>
      </w:r>
      <w:r>
        <w:t xml:space="preserve">, </w:t>
      </w:r>
      <w:r w:rsidRPr="00DA529C">
        <w:t xml:space="preserve">subject to an agreement (the Repo) that </w:t>
      </w:r>
      <w:r>
        <w:t xml:space="preserve">U Co </w:t>
      </w:r>
      <w:r w:rsidRPr="00DA529C">
        <w:t>will repurchase the shareholding after 3 months for £101m.</w:t>
      </w:r>
    </w:p>
    <w:p w14:paraId="6B072650" w14:textId="77777777" w:rsidR="00F37D6B" w:rsidRDefault="00F37D6B" w:rsidP="00F37D6B">
      <w:pPr>
        <w:pStyle w:val="ListParagraph"/>
      </w:pPr>
    </w:p>
    <w:p w14:paraId="0C55C86C" w14:textId="77777777" w:rsidR="00F37D6B" w:rsidRDefault="00F37D6B" w:rsidP="00F37D6B">
      <w:pPr>
        <w:pStyle w:val="ListParagraph"/>
        <w:numPr>
          <w:ilvl w:val="0"/>
          <w:numId w:val="1"/>
        </w:numPr>
      </w:pPr>
      <w:r>
        <w:t>C Co is resident in Country CA.</w:t>
      </w:r>
    </w:p>
    <w:p w14:paraId="51F6865D" w14:textId="77777777" w:rsidR="00F37D6B" w:rsidRDefault="00F37D6B" w:rsidP="00F37D6B">
      <w:pPr>
        <w:pStyle w:val="ListParagraph"/>
      </w:pPr>
    </w:p>
    <w:p w14:paraId="798D8149" w14:textId="77777777" w:rsidR="00F37D6B" w:rsidRDefault="00F37D6B" w:rsidP="00F37D6B">
      <w:pPr>
        <w:pStyle w:val="ListParagraph"/>
        <w:numPr>
          <w:ilvl w:val="0"/>
          <w:numId w:val="1"/>
        </w:numPr>
      </w:pPr>
      <w:r w:rsidRPr="00DA529C">
        <w:t>No dividends are paid or payable on the I Co shares during this 3 month period.</w:t>
      </w:r>
    </w:p>
    <w:p w14:paraId="44A5D61D" w14:textId="77777777" w:rsidR="00F37D6B" w:rsidRDefault="00F37D6B" w:rsidP="00F37D6B">
      <w:pPr>
        <w:pStyle w:val="ListParagraph"/>
      </w:pPr>
    </w:p>
    <w:p w14:paraId="2913F579" w14:textId="77777777" w:rsidR="00F37D6B" w:rsidRDefault="00F37D6B" w:rsidP="00F37D6B">
      <w:pPr>
        <w:pStyle w:val="ListParagraph"/>
        <w:numPr>
          <w:ilvl w:val="0"/>
          <w:numId w:val="1"/>
        </w:numPr>
      </w:pPr>
      <w:r w:rsidRPr="00DA529C">
        <w:t xml:space="preserve">U Co accounts for the transactions as a borrowing of £100m, secured on the shares in I Co, recognising a financing cost of £1m (being the excess of the repurchase cost of the shares). </w:t>
      </w:r>
      <w:r>
        <w:t>Under</w:t>
      </w:r>
      <w:r w:rsidRPr="00DA529C">
        <w:t xml:space="preserve"> UK </w:t>
      </w:r>
      <w:r>
        <w:t xml:space="preserve">tax law </w:t>
      </w:r>
      <w:r w:rsidRPr="00DA529C">
        <w:t>U Co</w:t>
      </w:r>
      <w:r>
        <w:t xml:space="preserve"> may</w:t>
      </w:r>
      <w:r w:rsidRPr="00DA529C">
        <w:t xml:space="preserve"> deduct th</w:t>
      </w:r>
      <w:r>
        <w:t>at</w:t>
      </w:r>
      <w:r w:rsidRPr="00DA529C">
        <w:t xml:space="preserve"> £1m from </w:t>
      </w:r>
      <w:r>
        <w:t xml:space="preserve">its </w:t>
      </w:r>
      <w:r w:rsidRPr="00DA529C">
        <w:t>income for tax purposes.</w:t>
      </w:r>
    </w:p>
    <w:p w14:paraId="7DBCDBC0" w14:textId="77777777" w:rsidR="00F37D6B" w:rsidRPr="00DA529C" w:rsidRDefault="00F37D6B" w:rsidP="00F37D6B"/>
    <w:p w14:paraId="514748D0" w14:textId="77777777" w:rsidR="00F37D6B" w:rsidRDefault="00F37D6B" w:rsidP="00F37D6B">
      <w:pPr>
        <w:pStyle w:val="ListParagraph"/>
        <w:numPr>
          <w:ilvl w:val="0"/>
          <w:numId w:val="1"/>
        </w:numPr>
      </w:pPr>
      <w:r w:rsidRPr="00DA529C">
        <w:t xml:space="preserve">The </w:t>
      </w:r>
      <w:r>
        <w:t xml:space="preserve">borrowing cost for U Co is at an </w:t>
      </w:r>
      <w:r w:rsidRPr="00DA529C">
        <w:t xml:space="preserve">effective annual rate of approximately 4% </w:t>
      </w:r>
      <w:r>
        <w:t>and is accepted a</w:t>
      </w:r>
      <w:r w:rsidRPr="00DA529C">
        <w:t>s an arm’s length</w:t>
      </w:r>
      <w:r>
        <w:t xml:space="preserve"> cost</w:t>
      </w:r>
      <w:r w:rsidRPr="00DA529C">
        <w:t xml:space="preserve">. </w:t>
      </w:r>
    </w:p>
    <w:p w14:paraId="36C13B57" w14:textId="77777777" w:rsidR="00F37D6B" w:rsidRDefault="00F37D6B" w:rsidP="00F37D6B">
      <w:pPr>
        <w:pStyle w:val="ListParagraph"/>
        <w:ind w:left="360"/>
      </w:pPr>
    </w:p>
    <w:p w14:paraId="2E0E4209" w14:textId="77777777" w:rsidR="00F37D6B" w:rsidRPr="00DA529C" w:rsidRDefault="00F37D6B" w:rsidP="00F37D6B">
      <w:pPr>
        <w:pStyle w:val="ListParagraph"/>
        <w:numPr>
          <w:ilvl w:val="0"/>
          <w:numId w:val="1"/>
        </w:numPr>
      </w:pPr>
      <w:r>
        <w:lastRenderedPageBreak/>
        <w:t xml:space="preserve">C Co </w:t>
      </w:r>
      <w:r w:rsidRPr="00DA529C">
        <w:t>also treats the repo as secured lending for tax purposes</w:t>
      </w:r>
      <w:r>
        <w:t xml:space="preserve">, </w:t>
      </w:r>
      <w:r w:rsidRPr="00DA529C">
        <w:t xml:space="preserve">and </w:t>
      </w:r>
      <w:r>
        <w:t xml:space="preserve">the </w:t>
      </w:r>
      <w:r w:rsidRPr="00DA529C">
        <w:t>in-substance interest of £1m is ordinary income of C Co</w:t>
      </w:r>
      <w:r>
        <w:t xml:space="preserve"> in Country CA</w:t>
      </w:r>
      <w:r w:rsidRPr="00DA529C">
        <w:t xml:space="preserve">. </w:t>
      </w:r>
    </w:p>
    <w:p w14:paraId="74082D68" w14:textId="77777777" w:rsidR="00F37D6B" w:rsidRPr="00A364EC" w:rsidRDefault="00F37D6B" w:rsidP="00F37D6B">
      <w:pPr>
        <w:pStyle w:val="Heading2"/>
      </w:pPr>
      <w:r w:rsidRPr="00A364EC">
        <w:t>Analysis – Applying the tests in s259DA TIOPA 2010</w:t>
      </w:r>
    </w:p>
    <w:p w14:paraId="78C2DC53" w14:textId="77777777" w:rsidR="00F37D6B" w:rsidRPr="00A364EC" w:rsidRDefault="00F37D6B" w:rsidP="00F37D6B">
      <w:pPr>
        <w:pStyle w:val="Heading3"/>
      </w:pPr>
      <w:r w:rsidRPr="00A364EC">
        <w:t>Condition A: Is there a hybrid transfer arrangement in relation to an underlying instrument?</w:t>
      </w:r>
    </w:p>
    <w:p w14:paraId="668B4B92" w14:textId="77777777" w:rsidR="00F37D6B" w:rsidRDefault="00F37D6B" w:rsidP="00F37D6B">
      <w:r w:rsidRPr="006B2271">
        <w:t xml:space="preserve">The agreement to sell I </w:t>
      </w:r>
      <w:r>
        <w:t xml:space="preserve">Co </w:t>
      </w:r>
      <w:r w:rsidRPr="006B2271">
        <w:t>shares for £100m and repurchase them after 3 months for £101m is a repo in the ordinary sense of the term as used in the conte</w:t>
      </w:r>
      <w:r>
        <w:t>x</w:t>
      </w:r>
      <w:r w:rsidRPr="006B2271">
        <w:t>t of financial transactions</w:t>
      </w:r>
      <w:r>
        <w:t>.  The Repo is a hybrid transfer arrangement as defined at s259DB(2) only if it provides for, or relates to, the transfer of a financial instrument and</w:t>
      </w:r>
    </w:p>
    <w:p w14:paraId="08DEFDC7" w14:textId="77777777" w:rsidR="00F37D6B" w:rsidRDefault="00F37D6B" w:rsidP="00F37D6B">
      <w:pPr>
        <w:pStyle w:val="ListParagraph"/>
        <w:numPr>
          <w:ilvl w:val="0"/>
          <w:numId w:val="2"/>
        </w:numPr>
      </w:pPr>
      <w:r>
        <w:t>the dual treatment condition is met, or</w:t>
      </w:r>
    </w:p>
    <w:p w14:paraId="6DBA77AF" w14:textId="77777777" w:rsidR="00F37D6B" w:rsidRDefault="00F37D6B" w:rsidP="00F37D6B">
      <w:pPr>
        <w:pStyle w:val="ListParagraph"/>
      </w:pPr>
    </w:p>
    <w:p w14:paraId="258E5DDA" w14:textId="77777777" w:rsidR="00F37D6B" w:rsidRDefault="00F37D6B" w:rsidP="00F37D6B">
      <w:pPr>
        <w:pStyle w:val="ListParagraph"/>
        <w:numPr>
          <w:ilvl w:val="0"/>
          <w:numId w:val="2"/>
        </w:numPr>
      </w:pPr>
      <w:r>
        <w:t>a substitute payment could be made.</w:t>
      </w:r>
    </w:p>
    <w:p w14:paraId="61B32F9D" w14:textId="77777777" w:rsidR="00F37D6B" w:rsidRDefault="00F37D6B" w:rsidP="00F37D6B">
      <w:pPr>
        <w:pStyle w:val="ListParagraph"/>
      </w:pPr>
    </w:p>
    <w:p w14:paraId="32367573" w14:textId="77777777" w:rsidR="00F37D6B" w:rsidRPr="006B2271" w:rsidRDefault="00F37D6B" w:rsidP="00F37D6B">
      <w:pPr>
        <w:pStyle w:val="ListParagraph"/>
        <w:ind w:left="0"/>
      </w:pPr>
      <w:r>
        <w:t xml:space="preserve">The I Co shares are a financial instrument, as defined at s259N.  The Repo is, therefore, an arrangement providing for the transfer of a financial instrument. </w:t>
      </w:r>
    </w:p>
    <w:p w14:paraId="6E448754" w14:textId="77777777" w:rsidR="00F37D6B" w:rsidRDefault="00F37D6B" w:rsidP="00F37D6B">
      <w:pPr>
        <w:pStyle w:val="BodyText"/>
      </w:pPr>
      <w:r>
        <w:t>The dual treatment condition is met if, for tax purposes -</w:t>
      </w:r>
    </w:p>
    <w:p w14:paraId="56089774" w14:textId="77777777" w:rsidR="00F37D6B" w:rsidRDefault="00F37D6B" w:rsidP="00F37D6B">
      <w:pPr>
        <w:pStyle w:val="BodyText"/>
        <w:numPr>
          <w:ilvl w:val="0"/>
          <w:numId w:val="3"/>
        </w:numPr>
      </w:pPr>
      <w:r>
        <w:t>one person regards the arrangement as equivalent to a transaction for the lending of money at interest, and a payment or quasi-payment made under or in connection with that arrangement is treated accordingly, and</w:t>
      </w:r>
    </w:p>
    <w:p w14:paraId="22A71363" w14:textId="77777777" w:rsidR="00F37D6B" w:rsidRDefault="00F37D6B" w:rsidP="00F37D6B">
      <w:pPr>
        <w:pStyle w:val="BodyText"/>
        <w:numPr>
          <w:ilvl w:val="0"/>
          <w:numId w:val="3"/>
        </w:numPr>
      </w:pPr>
      <w:r>
        <w:t>another person does not treat that payment or quasi-payment as equivalent to a transaction for the lending of money at interest.</w:t>
      </w:r>
    </w:p>
    <w:p w14:paraId="7E9F730F" w14:textId="77777777" w:rsidR="00F37D6B" w:rsidRDefault="00F37D6B" w:rsidP="00F37D6B">
      <w:pPr>
        <w:pStyle w:val="BodyText"/>
      </w:pPr>
      <w:r>
        <w:t>On the facts given above, the dual treatment condition is not met because both U Co and C Co treat the payment of £1m under the Repo as a transaction under an arrangement that is equivalent to the lending of money at interest.</w:t>
      </w:r>
    </w:p>
    <w:p w14:paraId="460E0C32" w14:textId="77777777" w:rsidR="00F37D6B" w:rsidRDefault="00F37D6B" w:rsidP="00F37D6B">
      <w:r>
        <w:t xml:space="preserve">No dividends are paid or payable to C Co during the 3 months it holds the shares.  Assuming that the Repo does not contain any provision to make a substitute payment (for example, because the period covered does not include a record date for I Co shares), no substitute payment could be made by C Co to U Co.  </w:t>
      </w:r>
    </w:p>
    <w:p w14:paraId="23F6BCD9" w14:textId="77777777" w:rsidR="00F37D6B" w:rsidRDefault="00F37D6B" w:rsidP="00F37D6B">
      <w:r>
        <w:t>Condition A is not satisfied, as the dual treatment condition is not met and there cannot be a substitute payment. It is not necessary to consider the remaining conditions at s259DB.</w:t>
      </w:r>
    </w:p>
    <w:p w14:paraId="4BB78CC6" w14:textId="77777777" w:rsidR="00F37D6B" w:rsidRPr="00973BD2" w:rsidRDefault="00F37D6B" w:rsidP="00F37D6B">
      <w:pPr>
        <w:pStyle w:val="Heading3"/>
      </w:pPr>
      <w:r w:rsidRPr="00973BD2">
        <w:t xml:space="preserve">Conclusion </w:t>
      </w:r>
    </w:p>
    <w:p w14:paraId="4DC22CE4" w14:textId="6F7436E6" w:rsidR="00714BF2" w:rsidRDefault="00F37D6B">
      <w:r>
        <w:t xml:space="preserve">The conditions at s259DB(2) are </w:t>
      </w:r>
      <w:r w:rsidRPr="00973BD2">
        <w:t>not satisfied</w:t>
      </w:r>
      <w:r>
        <w:t>, so there is no hybrid transfer arrangement and there can be no counteraction under Chapter 4.</w:t>
      </w:r>
    </w:p>
    <w:bookmarkStart w:id="0" w:name="_Hlk90048850"/>
    <w:bookmarkStart w:id="1" w:name="_Hlk90049141"/>
    <w:p w14:paraId="1AE196AF" w14:textId="77777777" w:rsidR="00762467" w:rsidRDefault="00762467" w:rsidP="00762467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0"/>
      <w:r>
        <w:t xml:space="preserve"> </w:t>
      </w:r>
      <w:bookmarkEnd w:id="1"/>
    </w:p>
    <w:p w14:paraId="586AF90F" w14:textId="77777777" w:rsidR="00762467" w:rsidRPr="00762467" w:rsidRDefault="00762467" w:rsidP="00762467">
      <w:pPr>
        <w:pStyle w:val="BodyText"/>
      </w:pPr>
    </w:p>
    <w:sectPr w:rsidR="00762467" w:rsidRPr="00762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48826" w14:textId="77777777" w:rsidR="00A04AE2" w:rsidRDefault="00A04AE2" w:rsidP="00F37D6B">
      <w:pPr>
        <w:spacing w:after="0"/>
      </w:pPr>
      <w:r>
        <w:separator/>
      </w:r>
    </w:p>
  </w:endnote>
  <w:endnote w:type="continuationSeparator" w:id="0">
    <w:p w14:paraId="60492DB7" w14:textId="77777777" w:rsidR="00A04AE2" w:rsidRDefault="00A04AE2" w:rsidP="00F37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0F3E8" w14:textId="77777777" w:rsidR="00762467" w:rsidRDefault="00762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2353B" w14:textId="5975251A" w:rsidR="00F37D6B" w:rsidRDefault="00F37D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1D3C92" wp14:editId="31F5880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7ae4a7dbffa53fa1f542969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CCE5BD" w14:textId="5948B6CA" w:rsidR="00F37D6B" w:rsidRPr="00F37D6B" w:rsidRDefault="00F37D6B" w:rsidP="00F37D6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7D6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D3C92" id="_x0000_t202" coordsize="21600,21600" o:spt="202" path="m,l,21600r21600,l21600,xe">
              <v:stroke joinstyle="miter"/>
              <v:path gradientshapeok="t" o:connecttype="rect"/>
            </v:shapetype>
            <v:shape id="MSIPCMc7ae4a7dbffa53fa1f542969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7dXvYawCAABH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75CCE5BD" w14:textId="5948B6CA" w:rsidR="00F37D6B" w:rsidRPr="00F37D6B" w:rsidRDefault="00F37D6B" w:rsidP="00F37D6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7D6B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06B24" w14:textId="77777777" w:rsidR="00762467" w:rsidRDefault="0076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79EE2" w14:textId="77777777" w:rsidR="00A04AE2" w:rsidRDefault="00A04AE2" w:rsidP="00F37D6B">
      <w:pPr>
        <w:spacing w:after="0"/>
      </w:pPr>
      <w:r>
        <w:separator/>
      </w:r>
    </w:p>
  </w:footnote>
  <w:footnote w:type="continuationSeparator" w:id="0">
    <w:p w14:paraId="22ED6A9B" w14:textId="77777777" w:rsidR="00A04AE2" w:rsidRDefault="00A04AE2" w:rsidP="00F37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1096B" w14:textId="77777777" w:rsidR="00762467" w:rsidRDefault="00762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3DA3C" w14:textId="77777777" w:rsidR="00762467" w:rsidRDefault="00762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DFF02" w14:textId="77777777" w:rsidR="00762467" w:rsidRDefault="00762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55C74"/>
    <w:multiLevelType w:val="hybridMultilevel"/>
    <w:tmpl w:val="3C12DDAA"/>
    <w:lvl w:ilvl="0" w:tplc="562C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05B99"/>
    <w:multiLevelType w:val="hybridMultilevel"/>
    <w:tmpl w:val="6B96D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F367E8"/>
    <w:multiLevelType w:val="hybridMultilevel"/>
    <w:tmpl w:val="E48A2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6B"/>
    <w:rsid w:val="001F0F8E"/>
    <w:rsid w:val="00762467"/>
    <w:rsid w:val="007F5080"/>
    <w:rsid w:val="00A04AE2"/>
    <w:rsid w:val="00EA0CE8"/>
    <w:rsid w:val="00EB1CDF"/>
    <w:rsid w:val="00F3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A7923"/>
  <w15:chartTrackingRefBased/>
  <w15:docId w15:val="{FF1D7B37-6471-43D6-97A1-B3534C18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F37D6B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37D6B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F37D6B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F37D6B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D6B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37D6B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37D6B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F37D6B"/>
  </w:style>
  <w:style w:type="character" w:customStyle="1" w:styleId="BodyTextChar">
    <w:name w:val="Body Text Char"/>
    <w:basedOn w:val="DefaultParagraphFont"/>
    <w:link w:val="BodyText"/>
    <w:rsid w:val="00F37D6B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F37D6B"/>
    <w:rPr>
      <w:rFonts w:ascii="Arial" w:hAnsi="Arial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F37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D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7D6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37D6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7D6B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4665E-2840-450A-8EBD-3E1C919354A1}"/>
</file>

<file path=customXml/itemProps2.xml><?xml version="1.0" encoding="utf-8"?>
<ds:datastoreItem xmlns:ds="http://schemas.openxmlformats.org/officeDocument/2006/customXml" ds:itemID="{D39C7BA6-AEFD-42D3-8D0C-5E56541225DE}"/>
</file>

<file path=customXml/itemProps3.xml><?xml version="1.0" encoding="utf-8"?>
<ds:datastoreItem xmlns:ds="http://schemas.openxmlformats.org/officeDocument/2006/customXml" ds:itemID="{1990EA4B-4704-457A-ADB8-710633CE2A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2021-12-10T16:13:00Z</dcterms:created>
  <dcterms:modified xsi:type="dcterms:W3CDTF">2021-12-10T17:26:00Z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2021-12-10T16:13:56Z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18ca1e89-0fdb-427e-bb03-64cedb5af1c9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