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3A39" w:rsidRDefault="00C83A39" w:rsidP="00C83A39">
      <w:pPr>
        <w:pStyle w:val="Heading1"/>
      </w:pPr>
      <w:bookmarkStart w:id="0" w:name="_Toc468806594"/>
      <w:bookmarkStart w:id="1" w:name="_Toc478036366"/>
      <w:r>
        <w:t>INTM55138</w:t>
      </w:r>
      <w:r w:rsidRPr="007F7EC0">
        <w:t>0: Hybrids</w:t>
      </w:r>
      <w:r>
        <w:t>: Financial instruments (Chapter 3):</w:t>
      </w:r>
      <w:r w:rsidRPr="007F7EC0">
        <w:t xml:space="preserve"> Example: Interest paid on the purchase of shares from a share trader</w:t>
      </w:r>
      <w:bookmarkEnd w:id="0"/>
      <w:bookmarkEnd w:id="1"/>
    </w:p>
    <w:p w:rsidR="00C83A39" w:rsidRDefault="00C83A39" w:rsidP="00C83A39">
      <w:r w:rsidRPr="007F7EC0">
        <w:t xml:space="preserve">This example looks at situations where a company transfers shares to a related company in exchange for payment. The company selling the shares is a share trader. The payment is deferred and interest is applied to the unpaid amount. </w:t>
      </w:r>
    </w:p>
    <w:p w:rsidR="00C83A39" w:rsidRDefault="00C83A39" w:rsidP="00C83A39">
      <w:r>
        <w:t>The example shows</w:t>
      </w:r>
      <w:r w:rsidRPr="001F0D3E">
        <w:t xml:space="preserve"> both that the cost </w:t>
      </w:r>
      <w:r>
        <w:t xml:space="preserve">price </w:t>
      </w:r>
      <w:r w:rsidRPr="001F0D3E">
        <w:t xml:space="preserve">of the shares should be </w:t>
      </w:r>
      <w:r>
        <w:t>included in ordinary income</w:t>
      </w:r>
      <w:r w:rsidRPr="001F0D3E">
        <w:t xml:space="preserve"> in computing the share trader’s profits and that if the interest </w:t>
      </w:r>
      <w:r>
        <w:t>receipt</w:t>
      </w:r>
      <w:r w:rsidRPr="001F0D3E">
        <w:t xml:space="preserve"> is brought into charge at the full marginal rate, albeit in a differe</w:t>
      </w:r>
      <w:r>
        <w:t xml:space="preserve">nt character, there will be no </w:t>
      </w:r>
      <w:r w:rsidRPr="001F0D3E">
        <w:t>hybr</w:t>
      </w:r>
      <w:r>
        <w:t>id mismatch to be counteracted under the h</w:t>
      </w:r>
      <w:r w:rsidRPr="001F0D3E">
        <w:t xml:space="preserve">ybrid and </w:t>
      </w:r>
      <w:r>
        <w:t>other m</w:t>
      </w:r>
      <w:r w:rsidRPr="001F0D3E">
        <w:t xml:space="preserve">ismatches from </w:t>
      </w:r>
      <w:r>
        <w:t>f</w:t>
      </w:r>
      <w:r w:rsidRPr="001F0D3E">
        <w:t>inancial</w:t>
      </w:r>
      <w:r>
        <w:t xml:space="preserve"> i</w:t>
      </w:r>
      <w:r w:rsidRPr="001F0D3E">
        <w:t>nstruments rules.</w:t>
      </w:r>
    </w:p>
    <w:p w:rsidR="00C83A39" w:rsidRPr="003050DB" w:rsidRDefault="00C83A39" w:rsidP="00C83A39">
      <w:pPr>
        <w:pStyle w:val="BodyText"/>
      </w:pPr>
    </w:p>
    <w:p w:rsidR="00C83A39" w:rsidRDefault="00C83A39" w:rsidP="00C83A39">
      <w:r>
        <w:rPr>
          <w:noProof/>
        </w:rPr>
        <w:drawing>
          <wp:inline distT="0" distB="0" distL="0" distR="0" wp14:anchorId="441CDEC3" wp14:editId="229AB96E">
            <wp:extent cx="4133215" cy="1835150"/>
            <wp:effectExtent l="0" t="0" r="635" b="0"/>
            <wp:docPr id="441" name="Picture 441" descr="Co. 1 is a share trader and resident in Country X.&#10;Co. 2 is resident in Country Y and is related to Co. 1. &#10;Co. 1 transfers shares to Co. 2, which pays market value for the shares (subject to a price adjustment for the consideration being deferred).&#10;The consideration given for the shares is deferred for a year. The purchase price is fair market value on the date of the agreement plus an amount equal to a market rate of interest on the unpaid purchase price.&#10;Under the laws of Country Y, Co. 2 is allowed to treat the in-substance interest portion of the purchase price as a separate deductible expense for tax purposes. Co. 2 is not a share trader and is therefore not able to claim a deduction for the cost of the shares acquired.&#10;Under the laws of Country X, Co. 1 treats the entire purchase price (including the interest element) as consideration for the transfer of the asset. However, as it is a share trader, Co. 1 is required to bring the entire amount of the payment into account as ordinary income when computing its taxable profits.&#10;" title="INTM551380: Hybrids: Chapter 3 - Financial instruments: Example: Interest paid on the purchase of shares from a share tr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3215" cy="1835150"/>
                    </a:xfrm>
                    <a:prstGeom prst="rect">
                      <a:avLst/>
                    </a:prstGeom>
                    <a:noFill/>
                  </pic:spPr>
                </pic:pic>
              </a:graphicData>
            </a:graphic>
          </wp:inline>
        </w:drawing>
      </w:r>
    </w:p>
    <w:p w:rsidR="00C83A39" w:rsidRPr="007F7EC0" w:rsidRDefault="00C83A39" w:rsidP="00C83A39">
      <w:pPr>
        <w:pStyle w:val="Heading2"/>
      </w:pPr>
      <w:bookmarkStart w:id="2" w:name="_Toc468806595"/>
      <w:bookmarkStart w:id="3" w:name="_Toc478036367"/>
      <w:r w:rsidRPr="007F7EC0">
        <w:t>Background</w:t>
      </w:r>
      <w:bookmarkEnd w:id="2"/>
      <w:bookmarkEnd w:id="3"/>
    </w:p>
    <w:p w:rsidR="00C83A39" w:rsidRPr="001F0D3E" w:rsidRDefault="00C83A39" w:rsidP="00C83A39">
      <w:pPr>
        <w:pStyle w:val="ListBullet"/>
        <w:numPr>
          <w:ilvl w:val="0"/>
          <w:numId w:val="1"/>
        </w:numPr>
      </w:pPr>
      <w:r w:rsidRPr="001F0D3E">
        <w:t>Co. 1 is a share t</w:t>
      </w:r>
      <w:r>
        <w:t>rader and resident in Country X.</w:t>
      </w:r>
    </w:p>
    <w:p w:rsidR="00C83A39" w:rsidRPr="001F0D3E" w:rsidRDefault="00C83A39" w:rsidP="00C83A39">
      <w:pPr>
        <w:pStyle w:val="ListBullet"/>
        <w:numPr>
          <w:ilvl w:val="0"/>
          <w:numId w:val="1"/>
        </w:numPr>
      </w:pPr>
      <w:r w:rsidRPr="001F0D3E">
        <w:t>Co. 2 is resident in Co</w:t>
      </w:r>
      <w:r>
        <w:t>untry Y and is related to Co. 1.</w:t>
      </w:r>
      <w:r w:rsidRPr="001F0D3E">
        <w:t xml:space="preserve"> </w:t>
      </w:r>
    </w:p>
    <w:p w:rsidR="00C83A39" w:rsidRPr="001F0D3E" w:rsidRDefault="00C83A39" w:rsidP="00C83A39">
      <w:pPr>
        <w:pStyle w:val="ListBullet"/>
        <w:numPr>
          <w:ilvl w:val="0"/>
          <w:numId w:val="1"/>
        </w:numPr>
      </w:pPr>
      <w:r w:rsidRPr="001F0D3E">
        <w:t>Co. 1 transfers shares to Co. 2, which pays market value for the shares (subject to a price adjustment for the</w:t>
      </w:r>
      <w:r>
        <w:t xml:space="preserve"> consideration being deferred).</w:t>
      </w:r>
    </w:p>
    <w:p w:rsidR="00C83A39" w:rsidRPr="001F0D3E" w:rsidRDefault="00C83A39" w:rsidP="00C83A39">
      <w:pPr>
        <w:pStyle w:val="ListBullet"/>
        <w:numPr>
          <w:ilvl w:val="0"/>
          <w:numId w:val="1"/>
        </w:numPr>
      </w:pPr>
      <w:r w:rsidRPr="001F0D3E">
        <w:t>The consideration given for the shares is deferred for a year. The purchase price is fair market value on the date of the agreement plus an amount equal to a market rate of interest on the unpaid purchase price</w:t>
      </w:r>
      <w:r>
        <w:t>.</w:t>
      </w:r>
    </w:p>
    <w:p w:rsidR="00C83A39" w:rsidRPr="001F0D3E" w:rsidRDefault="00C83A39" w:rsidP="00C83A39">
      <w:pPr>
        <w:pStyle w:val="ListBullet"/>
        <w:numPr>
          <w:ilvl w:val="0"/>
          <w:numId w:val="1"/>
        </w:numPr>
      </w:pPr>
      <w:r w:rsidRPr="001F0D3E">
        <w:t xml:space="preserve">Under the laws of Country Y, Co. 2 is allowed to treat the in-substance interest portion of the purchase price as a separate deductible expense for tax purposes. Co. 2 is not a share trader and is therefore not able to claim a deduction for </w:t>
      </w:r>
      <w:r>
        <w:t>the cost of the shares acquired.</w:t>
      </w:r>
    </w:p>
    <w:p w:rsidR="00C83A39" w:rsidRDefault="00C83A39" w:rsidP="00C83A39">
      <w:pPr>
        <w:pStyle w:val="ListBullet"/>
        <w:numPr>
          <w:ilvl w:val="0"/>
          <w:numId w:val="1"/>
        </w:numPr>
      </w:pPr>
      <w:r w:rsidRPr="001F0D3E">
        <w:t xml:space="preserve">Under the laws of Country X, Co. 1 treats the entire purchase price (including the interest element) as consideration for the transfer of the asset. However, </w:t>
      </w:r>
      <w:r w:rsidRPr="001F0D3E">
        <w:lastRenderedPageBreak/>
        <w:t>as it is a share trader, Co. 1 is required to bring the entire amount of the payment into account as ordinary income when computing its taxable profits.</w:t>
      </w:r>
    </w:p>
    <w:p w:rsidR="00C83A39" w:rsidRPr="007F7EC0" w:rsidRDefault="00C83A39" w:rsidP="00C83A39">
      <w:pPr>
        <w:pStyle w:val="Heading2"/>
      </w:pPr>
      <w:bookmarkStart w:id="4" w:name="_Toc468806596"/>
      <w:bookmarkStart w:id="5" w:name="_Toc478036368"/>
      <w:r w:rsidRPr="007F7EC0">
        <w:t>Analysis - Applying the tests in s</w:t>
      </w:r>
      <w:r>
        <w:t>259</w:t>
      </w:r>
      <w:r w:rsidRPr="007F7EC0">
        <w:t>CA TIOPA 2010</w:t>
      </w:r>
      <w:bookmarkEnd w:id="4"/>
      <w:bookmarkEnd w:id="5"/>
    </w:p>
    <w:p w:rsidR="00C83A39" w:rsidRDefault="00C83A39" w:rsidP="00C83A39">
      <w:r w:rsidRPr="0031679F">
        <w:t>Do the interest payments satisfy the relevant conditions t</w:t>
      </w:r>
      <w:r>
        <w:t>o fall within the scope of the h</w:t>
      </w:r>
      <w:r w:rsidRPr="0031679F">
        <w:t xml:space="preserve">ybrid and </w:t>
      </w:r>
      <w:r>
        <w:t>o</w:t>
      </w:r>
      <w:r w:rsidRPr="0031679F">
        <w:t xml:space="preserve">ther </w:t>
      </w:r>
      <w:r>
        <w:t>m</w:t>
      </w:r>
      <w:r w:rsidRPr="0031679F">
        <w:t xml:space="preserve">ismatches from </w:t>
      </w:r>
      <w:r>
        <w:t>f</w:t>
      </w:r>
      <w:r w:rsidRPr="0031679F">
        <w:t xml:space="preserve">inancial </w:t>
      </w:r>
      <w:r>
        <w:t>i</w:t>
      </w:r>
      <w:r w:rsidRPr="0031679F">
        <w:t>nstruments rules</w:t>
      </w:r>
      <w:r w:rsidRPr="007F7EC0">
        <w:t>?</w:t>
      </w:r>
    </w:p>
    <w:p w:rsidR="00C83A39" w:rsidRPr="0031679F" w:rsidRDefault="00C83A39" w:rsidP="00C83A39">
      <w:pPr>
        <w:pStyle w:val="Heading3"/>
      </w:pPr>
      <w:bookmarkStart w:id="6" w:name="_Toc468806597"/>
      <w:bookmarkStart w:id="7" w:name="_Toc478036369"/>
      <w:r w:rsidRPr="0031679F">
        <w:t>Condition A:</w:t>
      </w:r>
      <w:r>
        <w:t xml:space="preserve"> </w:t>
      </w:r>
      <w:r w:rsidRPr="0031679F">
        <w:t>Is there a payment made under, or in connection with, a financial instrument?</w:t>
      </w:r>
      <w:bookmarkEnd w:id="6"/>
      <w:bookmarkEnd w:id="7"/>
      <w:r w:rsidRPr="0031679F">
        <w:t xml:space="preserve"> </w:t>
      </w:r>
    </w:p>
    <w:p w:rsidR="00C83A39" w:rsidRPr="00B46436" w:rsidRDefault="00C83A39" w:rsidP="00C83A39">
      <w:r w:rsidRPr="00B46436">
        <w:t xml:space="preserve">The definition of a ‘financial instrument’ within s259N TIOPA 2010 includes anything else that ‘has the meaning that it has for UK generally accepted accounting practice’. Therefore if the UK is in the position of Country X then it can usually be supposed that UK </w:t>
      </w:r>
      <w:r>
        <w:t xml:space="preserve"> GAAP </w:t>
      </w:r>
      <w:r w:rsidRPr="00B46436">
        <w:t xml:space="preserve">has determined the agreement to be merely a transfer of the asset, and therefore not a financial instrument. </w:t>
      </w:r>
    </w:p>
    <w:p w:rsidR="00C83A39" w:rsidRPr="00B46436" w:rsidRDefault="00C83A39" w:rsidP="00C83A39">
      <w:r>
        <w:t>By contrast,</w:t>
      </w:r>
      <w:r w:rsidRPr="00B46436">
        <w:t xml:space="preserve"> </w:t>
      </w:r>
      <w:r>
        <w:t>where</w:t>
      </w:r>
      <w:r w:rsidRPr="00B46436">
        <w:t xml:space="preserve"> the UK is in the position of Country Y</w:t>
      </w:r>
      <w:r>
        <w:t xml:space="preserve">, </w:t>
      </w:r>
      <w:r w:rsidRPr="00B46436">
        <w:t xml:space="preserve">the </w:t>
      </w:r>
      <w:r>
        <w:t xml:space="preserve">transfer </w:t>
      </w:r>
      <w:r w:rsidRPr="00B46436">
        <w:t>agreement include</w:t>
      </w:r>
      <w:r>
        <w:t>s</w:t>
      </w:r>
      <w:r w:rsidRPr="00B46436">
        <w:t xml:space="preserve"> a </w:t>
      </w:r>
      <w:r>
        <w:t xml:space="preserve">finance </w:t>
      </w:r>
      <w:r w:rsidRPr="00B46436">
        <w:t xml:space="preserve">element and </w:t>
      </w:r>
      <w:r>
        <w:t xml:space="preserve">is </w:t>
      </w:r>
      <w:r w:rsidRPr="00B46436">
        <w:t>therefore a financial instrument</w:t>
      </w:r>
      <w:r>
        <w:t xml:space="preserve"> under UK GAAP</w:t>
      </w:r>
      <w:r w:rsidRPr="00B46436">
        <w:t>.</w:t>
      </w:r>
    </w:p>
    <w:p w:rsidR="00C83A39" w:rsidRDefault="00C83A39" w:rsidP="00C83A39">
      <w:r w:rsidRPr="007F7EC0">
        <w:t xml:space="preserve">Condition A </w:t>
      </w:r>
      <w:r>
        <w:t>is</w:t>
      </w:r>
      <w:r w:rsidRPr="007F7EC0">
        <w:t xml:space="preserve"> satisfied </w:t>
      </w:r>
      <w:r>
        <w:t xml:space="preserve">only </w:t>
      </w:r>
      <w:r w:rsidRPr="007F7EC0">
        <w:t>if the UK is in the position of Country Y.</w:t>
      </w:r>
    </w:p>
    <w:p w:rsidR="00C83A39" w:rsidRPr="00B46436" w:rsidRDefault="00C83A39" w:rsidP="00C83A39">
      <w:pPr>
        <w:pStyle w:val="Heading3"/>
      </w:pPr>
      <w:bookmarkStart w:id="8" w:name="_Toc468806598"/>
      <w:bookmarkStart w:id="9" w:name="_Toc478036370"/>
      <w:r w:rsidRPr="00B46436">
        <w:t>Condition B:</w:t>
      </w:r>
      <w:r>
        <w:t xml:space="preserve"> </w:t>
      </w:r>
      <w:r w:rsidRPr="00B46436">
        <w:t>Is the payer or payee within the charge to corporation tax for a relevant payment period?</w:t>
      </w:r>
      <w:bookmarkEnd w:id="8"/>
      <w:bookmarkEnd w:id="9"/>
      <w:r w:rsidRPr="00B46436">
        <w:t xml:space="preserve"> </w:t>
      </w:r>
    </w:p>
    <w:p w:rsidR="00C83A39" w:rsidRDefault="00C83A39" w:rsidP="00C83A39">
      <w:r w:rsidRPr="007F7EC0">
        <w:t xml:space="preserve">In the event the UK is in the position of Country X, Co. 1 is the payee and is within the charge to corporation tax. </w:t>
      </w:r>
    </w:p>
    <w:p w:rsidR="00C83A39" w:rsidRDefault="00C83A39" w:rsidP="00C83A39">
      <w:r w:rsidRPr="007F7EC0">
        <w:t xml:space="preserve">In the event the UK is in the position of Country Y, Co. 2 is the payer and within the charge to corporation tax. </w:t>
      </w:r>
    </w:p>
    <w:p w:rsidR="00C83A39" w:rsidRDefault="00C83A39" w:rsidP="00C83A39">
      <w:r w:rsidRPr="007F7EC0">
        <w:t>Condition B will therefore be satisfied providing either of the above is satisfied.</w:t>
      </w:r>
    </w:p>
    <w:p w:rsidR="00C83A39" w:rsidRDefault="00C83A39" w:rsidP="00C83A39">
      <w:r w:rsidRPr="007F7EC0">
        <w:t xml:space="preserve">If the UK was neither Country X nor Country Y then this condition would not be satisfied and no further analysis is required as neither Co. 1 nor Co. 2 will be within the charge to corporation tax. </w:t>
      </w:r>
    </w:p>
    <w:p w:rsidR="00C83A39" w:rsidRDefault="00C83A39" w:rsidP="00C83A39">
      <w:r w:rsidRPr="007F7EC0">
        <w:t xml:space="preserve">If Co. 1 and Co. 2 were both within the charge to corporation tax, </w:t>
      </w:r>
      <w:r>
        <w:t>then condition B would be satisfied since both payer and payee companies</w:t>
      </w:r>
      <w:r w:rsidRPr="007F7EC0">
        <w:t xml:space="preserve"> </w:t>
      </w:r>
      <w:r>
        <w:t>were</w:t>
      </w:r>
      <w:r w:rsidRPr="007F7EC0">
        <w:t xml:space="preserve"> within the charge to corporation tax</w:t>
      </w:r>
      <w:r>
        <w:t xml:space="preserve">. </w:t>
      </w:r>
    </w:p>
    <w:p w:rsidR="00C83A39" w:rsidRPr="00B46436" w:rsidRDefault="00C83A39" w:rsidP="00C83A39">
      <w:pPr>
        <w:pStyle w:val="Heading3"/>
      </w:pPr>
      <w:bookmarkStart w:id="10" w:name="_Toc468806599"/>
      <w:bookmarkStart w:id="11" w:name="_Toc478036371"/>
      <w:r w:rsidRPr="00B46436">
        <w:t>Condition C:</w:t>
      </w:r>
      <w:r>
        <w:t xml:space="preserve"> </w:t>
      </w:r>
      <w:r w:rsidRPr="00B46436">
        <w:t>Is it reasonable to assume that there is, or will be, a ‘hybrid or otherwise impermissible deduction/ non-inclusion mismatch’ in relation to this payment?</w:t>
      </w:r>
      <w:bookmarkEnd w:id="10"/>
      <w:bookmarkEnd w:id="11"/>
    </w:p>
    <w:p w:rsidR="00C83A39" w:rsidRPr="00B46436" w:rsidRDefault="00C83A39" w:rsidP="00C83A39">
      <w:r w:rsidRPr="00B46436">
        <w:t xml:space="preserve">The payment is made up of two distinct and separable elements: the payment for the shares and the payment of interest. </w:t>
      </w:r>
    </w:p>
    <w:p w:rsidR="00C83A39" w:rsidRPr="00B46436" w:rsidRDefault="00C83A39" w:rsidP="00C83A39">
      <w:r w:rsidRPr="00B46436">
        <w:t>The separate and identifiable payment for t</w:t>
      </w:r>
      <w:r>
        <w:t xml:space="preserve">he shares will not result in a </w:t>
      </w:r>
      <w:r w:rsidRPr="00B46436">
        <w:t>hybrid or otherwise impermissible dedu</w:t>
      </w:r>
      <w:r>
        <w:t>ction/ non-inclusion mismatch</w:t>
      </w:r>
      <w:r w:rsidRPr="00B46436">
        <w:t xml:space="preserve"> as Country Y will not permit a deduction for the cost of the shares in calculating Co. 2’s trading profits </w:t>
      </w:r>
      <w:r>
        <w:t>(because</w:t>
      </w:r>
      <w:r w:rsidRPr="00B46436">
        <w:t xml:space="preserve"> it is not a share trader</w:t>
      </w:r>
      <w:r>
        <w:t>)</w:t>
      </w:r>
      <w:r w:rsidRPr="00B46436">
        <w:t xml:space="preserve">. </w:t>
      </w:r>
    </w:p>
    <w:p w:rsidR="00C83A39" w:rsidRPr="00B46436" w:rsidRDefault="00C83A39" w:rsidP="00C83A39">
      <w:r w:rsidRPr="00B46436">
        <w:lastRenderedPageBreak/>
        <w:t xml:space="preserve">The interest payment also does not result in a hybrid mismatch because the relevant deduction does not exceed the amounts of ordinary income arising to each payee for the permitted taxable period. Co. 2 has benefitted from a deduction in Country Y, but it is reasonable to assume that the corresponding receipt has been taxed in Country X as ordinary income – it is income that has been brought into charge by Country X under a tax corresponding to the UK’s charge to corporation tax on income. </w:t>
      </w:r>
    </w:p>
    <w:p w:rsidR="00C83A39" w:rsidRPr="00B46436" w:rsidRDefault="00C83A39" w:rsidP="00C83A39">
      <w:r>
        <w:t xml:space="preserve">Co. 1’s receipt is not accounted for </w:t>
      </w:r>
      <w:r w:rsidRPr="00B46436">
        <w:t>as fina</w:t>
      </w:r>
      <w:r>
        <w:t>nce income, but that does not prevent the amount being recognised as or</w:t>
      </w:r>
      <w:r w:rsidRPr="00B46436">
        <w:t xml:space="preserve">dinary Income </w:t>
      </w:r>
      <w:r>
        <w:t xml:space="preserve">under the definition </w:t>
      </w:r>
      <w:r w:rsidRPr="00B46436">
        <w:t>at s259BC.</w:t>
      </w:r>
    </w:p>
    <w:p w:rsidR="00C83A39" w:rsidRDefault="00C83A39" w:rsidP="00C83A39">
      <w:r w:rsidRPr="00B46436">
        <w:t>As the r</w:t>
      </w:r>
      <w:r>
        <w:t>ate charged on that element of o</w:t>
      </w:r>
      <w:r w:rsidRPr="00B46436">
        <w:t xml:space="preserve">rdinary Income is not lower than that charged in Country X on all ordinary income arising from financial instruments, it is not </w:t>
      </w:r>
      <w:r>
        <w:t>under-taxed for the purpose of case 2.</w:t>
      </w:r>
    </w:p>
    <w:p w:rsidR="00C83A39" w:rsidRDefault="00C83A39" w:rsidP="00C83A39">
      <w:r>
        <w:t>Condition C is not satisfied, and no further analysis is required.</w:t>
      </w:r>
    </w:p>
    <w:p w:rsidR="00C83A39" w:rsidRDefault="00C83A39" w:rsidP="00C83A39">
      <w:pPr>
        <w:pStyle w:val="Heading3"/>
      </w:pPr>
      <w:r w:rsidRPr="0031679F">
        <w:t>Conclusion</w:t>
      </w:r>
    </w:p>
    <w:p w:rsidR="00C83A39" w:rsidRDefault="00C83A39" w:rsidP="00C83A39">
      <w:r>
        <w:t xml:space="preserve">There is no </w:t>
      </w:r>
      <w:r w:rsidRPr="00D827C3">
        <w:t>hybrid or otherwise impermissible deduction/non-inclusion mismatch</w:t>
      </w:r>
      <w:r>
        <w:t xml:space="preserve"> to counteract.</w:t>
      </w:r>
    </w:p>
    <w:bookmarkStart w:id="12" w:name="_Hlk90048850"/>
    <w:bookmarkStart w:id="13" w:name="_Hlk90049141"/>
    <w:p w:rsidR="00C77DF4" w:rsidRDefault="00C77DF4" w:rsidP="00C77DF4">
      <w:r>
        <w:fldChar w:fldCharType="begin"/>
      </w:r>
      <w:r>
        <w:instrText>HYPERLINK "https://www.gov.uk/hmrc-internal-manuals/international-manual/intm550000"</w:instrText>
      </w:r>
      <w:r>
        <w:fldChar w:fldCharType="separate"/>
      </w:r>
      <w:r>
        <w:rPr>
          <w:rStyle w:val="Hyperlink"/>
        </w:rPr>
        <w:t>Return to contents</w:t>
      </w:r>
      <w:r>
        <w:fldChar w:fldCharType="end"/>
      </w:r>
      <w:bookmarkEnd w:id="12"/>
      <w:r>
        <w:t xml:space="preserve"> </w:t>
      </w:r>
      <w:bookmarkEnd w:id="13"/>
    </w:p>
    <w:p w:rsidR="00714BF2" w:rsidRDefault="000F7D4A" w:rsidP="00C77DF4">
      <w:pPr>
        <w:spacing w:after="160" w:line="259" w:lineRule="auto"/>
      </w:pPr>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7D4A" w:rsidRDefault="000F7D4A" w:rsidP="00C83A39">
      <w:pPr>
        <w:spacing w:after="0"/>
      </w:pPr>
      <w:r>
        <w:separator/>
      </w:r>
    </w:p>
  </w:endnote>
  <w:endnote w:type="continuationSeparator" w:id="0">
    <w:p w:rsidR="000F7D4A" w:rsidRDefault="000F7D4A" w:rsidP="00C83A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7DF4" w:rsidRDefault="00C7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A39" w:rsidRDefault="00C83A39">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2d4470cad7c05e9e79a79a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83A39" w:rsidRPr="00C83A39" w:rsidRDefault="00C83A39" w:rsidP="00C83A39">
                          <w:pPr>
                            <w:spacing w:after="0"/>
                            <w:jc w:val="center"/>
                            <w:rPr>
                              <w:rFonts w:ascii="Calibri" w:hAnsi="Calibri" w:cs="Calibri"/>
                              <w:color w:val="000000"/>
                              <w:sz w:val="20"/>
                            </w:rPr>
                          </w:pPr>
                          <w:r w:rsidRPr="00C83A3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2d4470cad7c05e9e79a79a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Ts2WxKwCAABHBQAADgAAAAAA&#10;AAAAAAAAAAAuAgAAZHJzL2Uyb0RvYy54bWxQSwECLQAUAAYACAAAACEAn9VB7N8AAAALAQAADwAA&#10;AAAAAAAAAAAAAAAGBQAAZHJzL2Rvd25yZXYueG1sUEsFBgAAAAAEAAQA8wAAABIGAAAAAA==&#10;" o:allowincell="f" filled="f" stroked="f" strokeweight=".5pt">
              <v:fill o:detectmouseclick="t"/>
              <v:textbox inset=",0,,0">
                <w:txbxContent>
                  <w:p w:rsidR="00C83A39" w:rsidRPr="00C83A39" w:rsidRDefault="00C83A39" w:rsidP="00C83A39">
                    <w:pPr>
                      <w:spacing w:after="0"/>
                      <w:jc w:val="center"/>
                      <w:rPr>
                        <w:rFonts w:ascii="Calibri" w:hAnsi="Calibri" w:cs="Calibri"/>
                        <w:color w:val="000000"/>
                        <w:sz w:val="20"/>
                      </w:rPr>
                    </w:pPr>
                    <w:r w:rsidRPr="00C83A39">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7DF4" w:rsidRDefault="00C7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7D4A" w:rsidRDefault="000F7D4A" w:rsidP="00C83A39">
      <w:pPr>
        <w:spacing w:after="0"/>
      </w:pPr>
      <w:r>
        <w:separator/>
      </w:r>
    </w:p>
  </w:footnote>
  <w:footnote w:type="continuationSeparator" w:id="0">
    <w:p w:rsidR="000F7D4A" w:rsidRDefault="000F7D4A" w:rsidP="00C83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7DF4" w:rsidRDefault="00C7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7DF4" w:rsidRDefault="00C77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7DF4" w:rsidRDefault="00C7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B90"/>
    <w:multiLevelType w:val="hybridMultilevel"/>
    <w:tmpl w:val="1028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39"/>
    <w:rsid w:val="000F7D4A"/>
    <w:rsid w:val="001F0F8E"/>
    <w:rsid w:val="007F5080"/>
    <w:rsid w:val="00C77DF4"/>
    <w:rsid w:val="00C83A39"/>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5EC5"/>
  <w15:chartTrackingRefBased/>
  <w15:docId w15:val="{8E7CEF1B-FDB8-4CD5-B092-4557D84B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C83A39"/>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C83A39"/>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C83A39"/>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C83A39"/>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A39"/>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C83A39"/>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C83A39"/>
    <w:rPr>
      <w:rFonts w:ascii="Arial" w:eastAsia="Times New Roman" w:hAnsi="Arial" w:cs="Arial"/>
      <w:b/>
      <w:iCs/>
      <w:sz w:val="24"/>
      <w:szCs w:val="26"/>
      <w:lang w:eastAsia="en-GB"/>
    </w:rPr>
  </w:style>
  <w:style w:type="paragraph" w:styleId="BodyText">
    <w:name w:val="Body Text"/>
    <w:basedOn w:val="Normal"/>
    <w:link w:val="BodyTextChar"/>
    <w:rsid w:val="00C83A39"/>
  </w:style>
  <w:style w:type="character" w:customStyle="1" w:styleId="BodyTextChar">
    <w:name w:val="Body Text Char"/>
    <w:basedOn w:val="DefaultParagraphFont"/>
    <w:link w:val="BodyText"/>
    <w:rsid w:val="00C83A39"/>
    <w:rPr>
      <w:rFonts w:ascii="Arial" w:eastAsia="Times New Roman" w:hAnsi="Arial" w:cs="Times New Roman"/>
      <w:sz w:val="24"/>
      <w:szCs w:val="20"/>
      <w:lang w:eastAsia="en-GB"/>
    </w:rPr>
  </w:style>
  <w:style w:type="character" w:styleId="Hyperlink">
    <w:name w:val="Hyperlink"/>
    <w:uiPriority w:val="99"/>
    <w:rsid w:val="00C83A39"/>
    <w:rPr>
      <w:rFonts w:ascii="Arial" w:hAnsi="Arial"/>
      <w:color w:val="0000FF"/>
      <w:sz w:val="24"/>
      <w:u w:val="single"/>
    </w:rPr>
  </w:style>
  <w:style w:type="paragraph" w:styleId="ListBullet">
    <w:name w:val="List Bullet"/>
    <w:basedOn w:val="BodyText"/>
    <w:rsid w:val="00C83A39"/>
  </w:style>
  <w:style w:type="paragraph" w:styleId="Header">
    <w:name w:val="header"/>
    <w:basedOn w:val="Normal"/>
    <w:link w:val="HeaderChar"/>
    <w:uiPriority w:val="99"/>
    <w:unhideWhenUsed/>
    <w:rsid w:val="00C83A39"/>
    <w:pPr>
      <w:tabs>
        <w:tab w:val="center" w:pos="4513"/>
        <w:tab w:val="right" w:pos="9026"/>
      </w:tabs>
      <w:spacing w:after="0"/>
    </w:pPr>
  </w:style>
  <w:style w:type="character" w:customStyle="1" w:styleId="HeaderChar">
    <w:name w:val="Header Char"/>
    <w:basedOn w:val="DefaultParagraphFont"/>
    <w:link w:val="Header"/>
    <w:uiPriority w:val="99"/>
    <w:rsid w:val="00C83A39"/>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C83A39"/>
    <w:pPr>
      <w:tabs>
        <w:tab w:val="center" w:pos="4513"/>
        <w:tab w:val="right" w:pos="9026"/>
      </w:tabs>
      <w:spacing w:after="0"/>
    </w:pPr>
  </w:style>
  <w:style w:type="character" w:customStyle="1" w:styleId="FooterChar">
    <w:name w:val="Footer Char"/>
    <w:basedOn w:val="DefaultParagraphFont"/>
    <w:link w:val="Footer"/>
    <w:uiPriority w:val="99"/>
    <w:rsid w:val="00C83A39"/>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706A5-1DA8-49E0-A324-6E7D4FD5B4A9}"/>
</file>

<file path=customXml/itemProps2.xml><?xml version="1.0" encoding="utf-8"?>
<ds:datastoreItem xmlns:ds="http://schemas.openxmlformats.org/officeDocument/2006/customXml" ds:itemID="{9E0F7652-4124-4B8E-94AB-F25A6A592D35}"/>
</file>

<file path=customXml/itemProps3.xml><?xml version="1.0" encoding="utf-8"?>
<ds:datastoreItem xmlns:ds="http://schemas.openxmlformats.org/officeDocument/2006/customXml" ds:itemID="{5A989986-E8C2-43DC-81D8-21B692E768CB}"/>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2021-12-10T16:00:00Z</dcterms:created>
  <dcterms:modified xsi:type="dcterms:W3CDTF">2021-12-10T17:25:00Z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2021-12-10T16:01:02Z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d352affe-1a5a-4fa4-ab56-a34760e5656b</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