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D6F6D" w:rsidRDefault="009D6F6D" w:rsidP="009D6F6D">
      <w:pPr>
        <w:pStyle w:val="Heading1"/>
      </w:pPr>
      <w:bookmarkStart w:id="0" w:name="_Toc468806581"/>
      <w:bookmarkStart w:id="1" w:name="_Toc478036353"/>
      <w:r>
        <w:t>INTM55136</w:t>
      </w:r>
      <w:r w:rsidRPr="007F7EC0">
        <w:t>0: Hybrids</w:t>
      </w:r>
      <w:r>
        <w:t>: Financial instruments (Chapter 3):</w:t>
      </w:r>
      <w:r w:rsidRPr="007F7EC0">
        <w:t xml:space="preserve"> Example: Consideration for the purchase of a trading asset</w:t>
      </w:r>
      <w:bookmarkEnd w:id="0"/>
      <w:bookmarkEnd w:id="1"/>
    </w:p>
    <w:p w:rsidR="009D6F6D" w:rsidRPr="00315A3F" w:rsidRDefault="009D6F6D" w:rsidP="009D6F6D">
      <w:r w:rsidRPr="00315A3F">
        <w:t xml:space="preserve">This example looks at situations where a company acquires shares on trading account from a related company in exchange for payment. This payment is deferred and interest is applied to the unpaid amount. </w:t>
      </w:r>
    </w:p>
    <w:p w:rsidR="009D6F6D" w:rsidRDefault="009D6F6D" w:rsidP="009D6F6D">
      <w:r w:rsidRPr="00315A3F">
        <w:t xml:space="preserve">The example considers whether the asset sale agreement falls within the </w:t>
      </w:r>
      <w:r>
        <w:t>h</w:t>
      </w:r>
      <w:r w:rsidRPr="00315A3F">
        <w:t xml:space="preserve">ybrid and </w:t>
      </w:r>
      <w:r>
        <w:t>o</w:t>
      </w:r>
      <w:r w:rsidRPr="00315A3F">
        <w:t xml:space="preserve">ther </w:t>
      </w:r>
      <w:r>
        <w:t>m</w:t>
      </w:r>
      <w:r w:rsidRPr="00315A3F">
        <w:t xml:space="preserve">ismatches from </w:t>
      </w:r>
      <w:r>
        <w:t>f</w:t>
      </w:r>
      <w:r w:rsidRPr="00315A3F">
        <w:t xml:space="preserve">inancial </w:t>
      </w:r>
      <w:r>
        <w:t>i</w:t>
      </w:r>
      <w:r w:rsidRPr="00315A3F">
        <w:t xml:space="preserve">nstruments rules. </w:t>
      </w:r>
    </w:p>
    <w:p w:rsidR="009D6F6D" w:rsidRPr="006E0CCB" w:rsidRDefault="009D6F6D" w:rsidP="009D6F6D">
      <w:pPr>
        <w:pStyle w:val="BodyText"/>
      </w:pPr>
    </w:p>
    <w:p w:rsidR="009D6F6D" w:rsidRPr="00F95C51" w:rsidRDefault="009D6F6D" w:rsidP="009D6F6D">
      <w:r>
        <w:rPr>
          <w:noProof/>
        </w:rPr>
        <w:drawing>
          <wp:inline distT="0" distB="0" distL="0" distR="0" wp14:anchorId="6CEB357E" wp14:editId="16702095">
            <wp:extent cx="4133215" cy="1835150"/>
            <wp:effectExtent l="0" t="0" r="635" b="0"/>
            <wp:docPr id="422" name="Picture 422" descr="Co. 1 is resident in Country X.&#10;Co. 2 is resident in Country Y.&#10;Co. 1 transfers shares to Co. 2, who pays fair market value for the shares. &#10;The share transfer occurs on the same day as the payment. &#10;Co. 2 acquires the shares as part of its activities as a trader and will be able to include the purchase price as expenditure when calculating any taxable gains/loss on the disposal of the shares. &#10;" title="INTM551360: Hybrids: Chapter 3 - Financial instruments: Example: Consideration for the purchase of a trading ass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83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6F6D" w:rsidRPr="007F7EC0" w:rsidRDefault="009D6F6D" w:rsidP="009D6F6D">
      <w:pPr>
        <w:pStyle w:val="Heading2"/>
      </w:pPr>
      <w:bookmarkStart w:id="2" w:name="_Toc468806582"/>
      <w:bookmarkStart w:id="3" w:name="_Toc478036354"/>
      <w:r>
        <w:t>Background</w:t>
      </w:r>
      <w:bookmarkEnd w:id="2"/>
      <w:bookmarkEnd w:id="3"/>
    </w:p>
    <w:p w:rsidR="009D6F6D" w:rsidRPr="007F7EC0" w:rsidRDefault="009D6F6D" w:rsidP="009D6F6D">
      <w:pPr>
        <w:pStyle w:val="ListBullet"/>
        <w:numPr>
          <w:ilvl w:val="0"/>
          <w:numId w:val="1"/>
        </w:numPr>
      </w:pPr>
      <w:r>
        <w:t>Co. 1 is resident in Country X.</w:t>
      </w:r>
    </w:p>
    <w:p w:rsidR="009D6F6D" w:rsidRPr="007F7EC0" w:rsidRDefault="009D6F6D" w:rsidP="009D6F6D">
      <w:pPr>
        <w:pStyle w:val="ListBullet"/>
        <w:numPr>
          <w:ilvl w:val="0"/>
          <w:numId w:val="1"/>
        </w:numPr>
      </w:pPr>
      <w:r>
        <w:t>Co. 2 is resident in Country Y.</w:t>
      </w:r>
    </w:p>
    <w:p w:rsidR="009D6F6D" w:rsidRPr="007F7EC0" w:rsidRDefault="009D6F6D" w:rsidP="009D6F6D">
      <w:pPr>
        <w:pStyle w:val="ListBullet"/>
        <w:numPr>
          <w:ilvl w:val="0"/>
          <w:numId w:val="1"/>
        </w:numPr>
      </w:pPr>
      <w:r w:rsidRPr="007F7EC0">
        <w:t>Co. 1 transfers shares to Co. 2, who pays f</w:t>
      </w:r>
      <w:r>
        <w:t>air market value for the shares.</w:t>
      </w:r>
      <w:r w:rsidRPr="007F7EC0">
        <w:t xml:space="preserve"> </w:t>
      </w:r>
    </w:p>
    <w:p w:rsidR="009D6F6D" w:rsidRPr="007F7EC0" w:rsidRDefault="009D6F6D" w:rsidP="009D6F6D">
      <w:pPr>
        <w:pStyle w:val="ListBullet"/>
        <w:numPr>
          <w:ilvl w:val="0"/>
          <w:numId w:val="1"/>
        </w:numPr>
      </w:pPr>
      <w:r w:rsidRPr="007F7EC0">
        <w:t>The share transfer occurs</w:t>
      </w:r>
      <w:r>
        <w:t xml:space="preserve"> on the same day as the payment.</w:t>
      </w:r>
      <w:r w:rsidRPr="007F7EC0">
        <w:t xml:space="preserve"> </w:t>
      </w:r>
    </w:p>
    <w:p w:rsidR="009D6F6D" w:rsidRDefault="009D6F6D" w:rsidP="009D6F6D">
      <w:pPr>
        <w:pStyle w:val="ListBullet"/>
        <w:numPr>
          <w:ilvl w:val="0"/>
          <w:numId w:val="1"/>
        </w:numPr>
      </w:pPr>
      <w:r w:rsidRPr="007F7EC0">
        <w:t xml:space="preserve">Co. 2 acquires the shares as part of its activities as a trader and will be able to include the purchase price as expenditure when calculating any taxable gains/loss on the disposal of the shares. </w:t>
      </w:r>
    </w:p>
    <w:p w:rsidR="009D6F6D" w:rsidRDefault="009D6F6D" w:rsidP="009D6F6D">
      <w:pPr>
        <w:pStyle w:val="Heading2"/>
      </w:pPr>
      <w:bookmarkStart w:id="4" w:name="_Toc468806583"/>
      <w:bookmarkStart w:id="5" w:name="_Toc478036355"/>
      <w:r w:rsidRPr="007F7EC0">
        <w:t>Analysis – Applying the rules in s</w:t>
      </w:r>
      <w:r>
        <w:t>259</w:t>
      </w:r>
      <w:r w:rsidRPr="007F7EC0">
        <w:t>CA</w:t>
      </w:r>
      <w:r w:rsidRPr="007F7EC0" w:rsidDel="00AC5D14">
        <w:t xml:space="preserve"> </w:t>
      </w:r>
      <w:r w:rsidRPr="007F7EC0">
        <w:t>TIOPA 2010</w:t>
      </w:r>
      <w:bookmarkEnd w:id="4"/>
      <w:bookmarkEnd w:id="5"/>
    </w:p>
    <w:p w:rsidR="009D6F6D" w:rsidRDefault="009D6F6D" w:rsidP="009D6F6D">
      <w:r w:rsidRPr="007F7EC0">
        <w:t>Do the interest payments satisfy the relevant conditions t</w:t>
      </w:r>
      <w:r>
        <w:t>o fall within the scope of the h</w:t>
      </w:r>
      <w:r w:rsidRPr="007F7EC0">
        <w:t xml:space="preserve">ybrid and </w:t>
      </w:r>
      <w:r>
        <w:t>other m</w:t>
      </w:r>
      <w:r w:rsidRPr="007F7EC0">
        <w:t xml:space="preserve">ismatches from </w:t>
      </w:r>
      <w:r>
        <w:t>financial i</w:t>
      </w:r>
      <w:r w:rsidRPr="007F7EC0">
        <w:t>nstruments rules?</w:t>
      </w:r>
    </w:p>
    <w:p w:rsidR="009D6F6D" w:rsidRDefault="009D6F6D" w:rsidP="009D6F6D">
      <w:pPr>
        <w:pStyle w:val="Heading3"/>
      </w:pPr>
      <w:r w:rsidRPr="007F7EC0">
        <w:t>Condition A:</w:t>
      </w:r>
      <w:r>
        <w:t xml:space="preserve"> </w:t>
      </w:r>
      <w:r w:rsidRPr="007F7EC0">
        <w:t xml:space="preserve">Are the payments or quasi-payments made under, or in connection with, a financial instrument? </w:t>
      </w:r>
    </w:p>
    <w:p w:rsidR="009D6F6D" w:rsidRDefault="009D6F6D" w:rsidP="009D6F6D">
      <w:r w:rsidRPr="007F7EC0">
        <w:t>The asset sale agreement is not a financial instrument as it does not fall within any of the definitions provided in s</w:t>
      </w:r>
      <w:r>
        <w:t>259</w:t>
      </w:r>
      <w:r w:rsidRPr="007F7EC0">
        <w:t>N</w:t>
      </w:r>
      <w:r w:rsidRPr="007F7EC0" w:rsidDel="002D3FF0">
        <w:t xml:space="preserve">. </w:t>
      </w:r>
    </w:p>
    <w:p w:rsidR="009D6F6D" w:rsidRDefault="009D6F6D" w:rsidP="009D6F6D">
      <w:r w:rsidRPr="007F7EC0">
        <w:lastRenderedPageBreak/>
        <w:t>Although shares are included, an agreement to acquire them will only be a financial instrument if it satisfies one of the tests in s</w:t>
      </w:r>
      <w:r>
        <w:t>259</w:t>
      </w:r>
      <w:r w:rsidRPr="007F7EC0">
        <w:t>N, for instance that amounts are brought into account in respect of it under Part 6 CTA 2010 – see s259N(1)(b).</w:t>
      </w:r>
      <w:r>
        <w:t xml:space="preserve"> </w:t>
      </w:r>
      <w:r w:rsidRPr="007F7EC0">
        <w:t xml:space="preserve">That is not the case here. </w:t>
      </w:r>
    </w:p>
    <w:p w:rsidR="009D6F6D" w:rsidRDefault="009D6F6D" w:rsidP="009D6F6D">
      <w:r>
        <w:t>Condition A is not satisfied, and no further analysis is required.</w:t>
      </w:r>
    </w:p>
    <w:p w:rsidR="009D6F6D" w:rsidRDefault="009D6F6D" w:rsidP="009D6F6D">
      <w:pPr>
        <w:pStyle w:val="Heading3"/>
      </w:pPr>
      <w:r w:rsidRPr="0031679F">
        <w:t>Conclusion</w:t>
      </w:r>
    </w:p>
    <w:p w:rsidR="009D6F6D" w:rsidRDefault="009D6F6D" w:rsidP="009D6F6D">
      <w:r>
        <w:t xml:space="preserve">There is no </w:t>
      </w:r>
      <w:r w:rsidRPr="00D827C3">
        <w:t>hybrid or otherwise impermissible deduction/non-inclusion mismatch</w:t>
      </w:r>
      <w:r>
        <w:t xml:space="preserve"> to counteract.</w:t>
      </w:r>
    </w:p>
    <w:p w:rsidR="009D6F6D" w:rsidRDefault="009D6F6D" w:rsidP="009D6F6D">
      <w:r w:rsidRPr="007F7EC0">
        <w:t>Note that if a substitute payment is made in connection with t</w:t>
      </w:r>
      <w:r>
        <w:t>he transfer, Chapter 4 dealing with hybrid t</w:t>
      </w:r>
      <w:r w:rsidRPr="007F7EC0">
        <w:t>ransfers</w:t>
      </w:r>
      <w:r>
        <w:t xml:space="preserve"> may apply</w:t>
      </w:r>
      <w:r w:rsidRPr="007F7EC0">
        <w:t xml:space="preserve">. </w:t>
      </w:r>
    </w:p>
    <w:bookmarkStart w:id="6" w:name="_INTM551370:_Hybrids:_Chapter"/>
    <w:bookmarkStart w:id="7" w:name="_INTM551280:_Hybrids:_Financial"/>
    <w:bookmarkStart w:id="8" w:name="_INTM551280:_Hybrids:_Chapter"/>
    <w:bookmarkStart w:id="9" w:name="_Hlk90048850"/>
    <w:bookmarkStart w:id="10" w:name="_Hlk90049141"/>
    <w:bookmarkEnd w:id="6"/>
    <w:bookmarkEnd w:id="7"/>
    <w:bookmarkEnd w:id="8"/>
    <w:p w:rsidR="005D56CE" w:rsidRDefault="005D56CE" w:rsidP="005D56CE">
      <w:r>
        <w:fldChar w:fldCharType="begin"/>
      </w:r>
      <w:r>
        <w:instrText>HYPERLINK "https://www.gov.uk/hmrc-internal-manuals/international-manual/intm550000"</w:instrText>
      </w:r>
      <w:r>
        <w:fldChar w:fldCharType="separate"/>
      </w:r>
      <w:r>
        <w:rPr>
          <w:rStyle w:val="Hyperlink"/>
        </w:rPr>
        <w:t>Return to contents</w:t>
      </w:r>
      <w:r>
        <w:fldChar w:fldCharType="end"/>
      </w:r>
      <w:bookmarkEnd w:id="9"/>
      <w:r>
        <w:t xml:space="preserve"> </w:t>
      </w:r>
      <w:bookmarkEnd w:id="10"/>
    </w:p>
    <w:p w:rsidR="00714BF2" w:rsidRPr="005D56CE" w:rsidRDefault="00960984" w:rsidP="005D56CE">
      <w:pPr>
        <w:spacing w:after="160" w:line="259" w:lineRule="auto"/>
        <w:rPr>
          <w:rFonts w:cs="Arial"/>
          <w:b/>
          <w:bCs/>
          <w:kern w:val="28"/>
          <w:sz w:val="40"/>
          <w:szCs w:val="32"/>
        </w:rPr>
      </w:pPr>
    </w:p>
    <w:sectPr w:rsidR="00714BF2" w:rsidRPr="005D56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0984" w:rsidRDefault="00960984" w:rsidP="009D6F6D">
      <w:pPr>
        <w:spacing w:after="0"/>
      </w:pPr>
      <w:r>
        <w:separator/>
      </w:r>
    </w:p>
  </w:endnote>
  <w:endnote w:type="continuationSeparator" w:id="0">
    <w:p w:rsidR="00960984" w:rsidRDefault="00960984" w:rsidP="009D6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6CE" w:rsidRDefault="005D56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D6F6D" w:rsidRDefault="009D6F6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22b54acf89c274e64f28e1df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9D6F6D" w:rsidRPr="009D6F6D" w:rsidRDefault="009D6F6D" w:rsidP="009D6F6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9D6F6D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22b54acf89c274e64f28e1df" o:spid="_x0000_s1026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" o:allowincell="f" filled="f" stroked="f" strokeweight=".5pt">
              <v:fill o:detectmouseclick="t"/>
              <v:textbox inset=",0,,0">
                <w:txbxContent>
                  <w:p w:rsidR="009D6F6D" w:rsidRPr="009D6F6D" w:rsidRDefault="009D6F6D" w:rsidP="009D6F6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9D6F6D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6CE" w:rsidRDefault="005D56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0984" w:rsidRDefault="00960984" w:rsidP="009D6F6D">
      <w:pPr>
        <w:spacing w:after="0"/>
      </w:pPr>
      <w:r>
        <w:separator/>
      </w:r>
    </w:p>
  </w:footnote>
  <w:footnote w:type="continuationSeparator" w:id="0">
    <w:p w:rsidR="00960984" w:rsidRDefault="00960984" w:rsidP="009D6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6CE" w:rsidRDefault="005D56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6CE" w:rsidRDefault="005D56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D56CE" w:rsidRDefault="005D56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527784"/>
    <w:multiLevelType w:val="hybridMultilevel"/>
    <w:tmpl w:val="CA3A8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6D"/>
    <w:rsid w:val="001F0F8E"/>
    <w:rsid w:val="005D56CE"/>
    <w:rsid w:val="007F5080"/>
    <w:rsid w:val="00960984"/>
    <w:rsid w:val="009D6F6D"/>
    <w:rsid w:val="00EA0CE8"/>
    <w:rsid w:val="00E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BDB17"/>
  <w15:chartTrackingRefBased/>
  <w15:docId w15:val="{707BF97F-0E9D-4197-807F-2DED6D92F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"/>
    <w:qFormat/>
    <w:rsid w:val="009D6F6D"/>
    <w:pPr>
      <w:spacing w:after="24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9D6F6D"/>
    <w:pPr>
      <w:keepNext/>
      <w:keepLines/>
      <w:outlineLvl w:val="0"/>
    </w:pPr>
    <w:rPr>
      <w:rFonts w:cs="Arial"/>
      <w:b/>
      <w:bCs/>
      <w:kern w:val="28"/>
      <w:sz w:val="40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9D6F6D"/>
    <w:pPr>
      <w:keepNext/>
      <w:spacing w:before="120"/>
      <w:outlineLvl w:val="1"/>
    </w:pPr>
    <w:rPr>
      <w:rFonts w:cs="Arial"/>
      <w:b/>
      <w:bCs/>
      <w:iCs/>
      <w:sz w:val="32"/>
      <w:szCs w:val="28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9D6F6D"/>
    <w:pPr>
      <w:outlineLvl w:val="2"/>
    </w:pPr>
    <w:rPr>
      <w:bCs w:val="0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6F6D"/>
    <w:rPr>
      <w:rFonts w:ascii="Arial" w:eastAsia="Times New Roman" w:hAnsi="Arial" w:cs="Arial"/>
      <w:b/>
      <w:bCs/>
      <w:kern w:val="28"/>
      <w:sz w:val="40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6F6D"/>
    <w:rPr>
      <w:rFonts w:ascii="Arial" w:eastAsia="Times New Roman" w:hAnsi="Arial" w:cs="Arial"/>
      <w:b/>
      <w:bCs/>
      <w:iCs/>
      <w:sz w:val="32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D6F6D"/>
    <w:rPr>
      <w:rFonts w:ascii="Arial" w:eastAsia="Times New Roman" w:hAnsi="Arial" w:cs="Arial"/>
      <w:b/>
      <w:iCs/>
      <w:sz w:val="24"/>
      <w:szCs w:val="26"/>
      <w:lang w:eastAsia="en-GB"/>
    </w:rPr>
  </w:style>
  <w:style w:type="paragraph" w:styleId="BodyText">
    <w:name w:val="Body Text"/>
    <w:basedOn w:val="Normal"/>
    <w:link w:val="BodyTextChar"/>
    <w:rsid w:val="009D6F6D"/>
  </w:style>
  <w:style w:type="character" w:customStyle="1" w:styleId="BodyTextChar">
    <w:name w:val="Body Text Char"/>
    <w:basedOn w:val="DefaultParagraphFont"/>
    <w:link w:val="BodyText"/>
    <w:rsid w:val="009D6F6D"/>
    <w:rPr>
      <w:rFonts w:ascii="Arial" w:eastAsia="Times New Roman" w:hAnsi="Arial" w:cs="Times New Roman"/>
      <w:sz w:val="24"/>
      <w:szCs w:val="20"/>
      <w:lang w:eastAsia="en-GB"/>
    </w:rPr>
  </w:style>
  <w:style w:type="character" w:styleId="Hyperlink">
    <w:name w:val="Hyperlink"/>
    <w:uiPriority w:val="99"/>
    <w:rsid w:val="009D6F6D"/>
    <w:rPr>
      <w:rFonts w:ascii="Arial" w:hAnsi="Arial"/>
      <w:color w:val="0000FF"/>
      <w:sz w:val="24"/>
      <w:u w:val="single"/>
    </w:rPr>
  </w:style>
  <w:style w:type="paragraph" w:styleId="ListBullet">
    <w:name w:val="List Bullet"/>
    <w:basedOn w:val="BodyText"/>
    <w:rsid w:val="009D6F6D"/>
  </w:style>
  <w:style w:type="paragraph" w:styleId="Header">
    <w:name w:val="header"/>
    <w:basedOn w:val="Normal"/>
    <w:link w:val="HeaderChar"/>
    <w:uiPriority w:val="99"/>
    <w:unhideWhenUsed/>
    <w:rsid w:val="009D6F6D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D6F6D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D6F6D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D6F6D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18433AF74A4EBB5B6F5E327EBF4D" ma:contentTypeVersion="12" ma:contentTypeDescription="Create a new document." ma:contentTypeScope="" ma:versionID="3ebf08c28007acb212aac7d9c7e48ff7">
  <xsd:schema xmlns:xsd="http://www.w3.org/2001/XMLSchema" xmlns:xs="http://www.w3.org/2001/XMLSchema" xmlns:p="http://schemas.microsoft.com/office/2006/metadata/properties" xmlns:ns2="417865cd-4129-408b-a079-f246660bbdb5" xmlns:ns3="0f2d7795-f8ec-4d3c-929f-0e5668c51a48" targetNamespace="http://schemas.microsoft.com/office/2006/metadata/properties" ma:root="true" ma:fieldsID="3334006b85fcb72ef50f90033308db4d" ns2:_="" ns3:_="">
    <xsd:import namespace="417865cd-4129-408b-a079-f246660bbdb5"/>
    <xsd:import namespace="0f2d7795-f8ec-4d3c-929f-0e5668c51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865cd-4129-408b-a079-f246660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7795-f8ec-4d3c-929f-0e5668c51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C48B2F-42C6-4E59-BEDB-8F6D022E630D}"/>
</file>

<file path=customXml/itemProps2.xml><?xml version="1.0" encoding="utf-8"?>
<ds:datastoreItem xmlns:ds="http://schemas.openxmlformats.org/officeDocument/2006/customXml" ds:itemID="{31080B21-95DF-4F5F-83D7-09E3DB98D641}"/>
</file>

<file path=customXml/itemProps3.xml><?xml version="1.0" encoding="utf-8"?>
<ds:datastoreItem xmlns:ds="http://schemas.openxmlformats.org/officeDocument/2006/customXml" ds:itemID="{BA5AE2F8-86E8-4EBF-B7E5-D3FDDF4C83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Duncan, Paul (CS&amp;TD Business, Assets &amp; International)</dc:creator>
  <cp:keywords/>
  <dc:description/>
  <cp:lastModifiedBy>Duncan, Paul (CS&amp;TD Business, Assets &amp; International)</cp:lastModifiedBy>
  <cp:revision>2</cp:revision>
  <dcterms:created xsi:type="dcterms:W3CDTF">2021-12-10T15:54:00Z</dcterms:created>
  <dcterms:modified xsi:type="dcterms:W3CDTF">2021-12-10T17:24:00Z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af038e-07b4-4369-a678-c835687cb272_Enabled">
    <vt:lpwstr>true</vt:lpwstr>
  </property>
  <property fmtid="{D5CDD505-2E9C-101B-9397-08002B2CF9AE}" pid="3" name="MSIP_Label_f9af038e-07b4-4369-a678-c835687cb272_SetDate">
    <vt:lpwstr>2021-12-10T15:54:53Z</vt:lpwstr>
  </property>
  <property fmtid="{D5CDD505-2E9C-101B-9397-08002B2CF9AE}" pid="4" name="MSIP_Label_f9af038e-07b4-4369-a678-c835687cb272_Method">
    <vt:lpwstr>Standard</vt:lpwstr>
  </property>
  <property fmtid="{D5CDD505-2E9C-101B-9397-08002B2CF9AE}" pid="5" name="MSIP_Label_f9af038e-07b4-4369-a678-c835687cb272_Name">
    <vt:lpwstr>OFFICIAL</vt:lpwstr>
  </property>
  <property fmtid="{D5CDD505-2E9C-101B-9397-08002B2CF9AE}" pid="6" name="MSIP_Label_f9af038e-07b4-4369-a678-c835687cb272_SiteId">
    <vt:lpwstr>ac52f73c-fd1a-4a9a-8e7a-4a248f3139e1</vt:lpwstr>
  </property>
  <property fmtid="{D5CDD505-2E9C-101B-9397-08002B2CF9AE}" pid="7" name="MSIP_Label_f9af038e-07b4-4369-a678-c835687cb272_ActionId">
    <vt:lpwstr>8e18c1f3-bc16-4af1-8e27-2fdcd3c0c086</vt:lpwstr>
  </property>
  <property fmtid="{D5CDD505-2E9C-101B-9397-08002B2CF9AE}" pid="8" name="MSIP_Label_f9af038e-07b4-4369-a678-c835687cb272_ContentBits">
    <vt:lpwstr>2</vt:lpwstr>
  </property>
  <property fmtid="{D5CDD505-2E9C-101B-9397-08002B2CF9AE}" pid="9" name="ContentTypeId">
    <vt:lpwstr>0x010100548D18433AF74A4EBB5B6F5E327EBF4D</vt:lpwstr>
  </property>
</Properties>
</file>