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C1332" w14:textId="77777777" w:rsidR="00EF4230" w:rsidRDefault="00EF4230" w:rsidP="00EF4230">
      <w:pPr>
        <w:pStyle w:val="Heading1"/>
      </w:pPr>
      <w:bookmarkStart w:id="0" w:name="_Toc468806552"/>
      <w:bookmarkStart w:id="1" w:name="_Toc478036324"/>
      <w:r>
        <w:t>INTM55133</w:t>
      </w:r>
      <w:r w:rsidRPr="007F7EC0">
        <w:t>0: Hybrids</w:t>
      </w:r>
      <w:r>
        <w:t>: Financial instruments (Chapter 3):</w:t>
      </w:r>
      <w:r w:rsidRPr="007F7EC0">
        <w:t xml:space="preserve"> Example: Interest payment to a person holding instrument through tax exempt accounts (e.g. ISAs)</w:t>
      </w:r>
      <w:bookmarkEnd w:id="0"/>
      <w:bookmarkEnd w:id="1"/>
      <w:r w:rsidRPr="007F7EC0">
        <w:t xml:space="preserve"> </w:t>
      </w:r>
    </w:p>
    <w:p w14:paraId="38794154" w14:textId="77777777" w:rsidR="00EF4230" w:rsidRPr="00426024" w:rsidRDefault="00EF4230" w:rsidP="00EF4230">
      <w:r w:rsidRPr="00426024">
        <w:t xml:space="preserve">This example looks at situations where an individual receives interest from a company.  The interest payment is deductible but the interest receipt is not taxed because it is held in a tax exempt account.  </w:t>
      </w:r>
    </w:p>
    <w:p w14:paraId="1ECBF707" w14:textId="77777777" w:rsidR="00EF4230" w:rsidRPr="00426024" w:rsidRDefault="00EF4230" w:rsidP="00EF4230">
      <w:r w:rsidRPr="00426024">
        <w:t xml:space="preserve">The example considers whether the interest receipt is ordinary income within the </w:t>
      </w:r>
      <w:r>
        <w:t>h</w:t>
      </w:r>
      <w:r w:rsidRPr="00426024">
        <w:t xml:space="preserve">ybrid and </w:t>
      </w:r>
      <w:r>
        <w:t>o</w:t>
      </w:r>
      <w:r w:rsidRPr="00426024">
        <w:t xml:space="preserve">ther </w:t>
      </w:r>
      <w:r>
        <w:t>m</w:t>
      </w:r>
      <w:r w:rsidRPr="00426024">
        <w:t xml:space="preserve">ismatches from </w:t>
      </w:r>
      <w:r>
        <w:t>f</w:t>
      </w:r>
      <w:r w:rsidRPr="00426024">
        <w:t xml:space="preserve">inancial </w:t>
      </w:r>
      <w:r>
        <w:t>i</w:t>
      </w:r>
      <w:r w:rsidRPr="00426024">
        <w:t xml:space="preserve">nstruments rules and how it should be treated. </w:t>
      </w:r>
    </w:p>
    <w:p w14:paraId="11D09446" w14:textId="77777777" w:rsidR="00EF4230" w:rsidRPr="00F95C51" w:rsidRDefault="00EF4230" w:rsidP="00EF4230">
      <w:pPr>
        <w:pStyle w:val="BodyText"/>
      </w:pPr>
      <w:r w:rsidRPr="007F7EC0">
        <w:rPr>
          <w:noProof/>
        </w:rPr>
        <w:drawing>
          <wp:inline distT="0" distB="0" distL="0" distR="0" wp14:anchorId="11475EB5" wp14:editId="7A090CDC">
            <wp:extent cx="3127375" cy="2390140"/>
            <wp:effectExtent l="0" t="0" r="0" b="0"/>
            <wp:docPr id="134" name="Picture 134" descr="Co. 1 is resident in Country Y.&#10;Individual 1 is resident in Country X and, except as specified below, there is no other relationship between the parties.&#10;Individual 1 subscribes for a bond issued by Co. 1 that pays regular interest.&#10;The bond is treated as a debt instrument under the laws of Countries X and Y. &#10;Under the law of Country Y Co. 1 is allowed a deduction for the interest payments.&#10;Under the law of Country X the interest receipts would usually be treated as ordinary income of the recipient.&#10;In this case, the bond is held by Individual 1 through a tax exempt personal savings account that entitles the individual to an exemption on any income and gains in respect of qualifying investments held in the account. To be eligible as a ‘qualifying investment’ they must be stocks and shares listed or traded on a recognised stock exchange, akin to a UK ISA.&#10;The savings account is available to individuals only, and there are limits on the amounts that can be put into the account. &#10;" title="INTM551330: Hybrids: Chapter 3 - Financial instruments: Example: Interest payment to a person holding instrument through tax exempt accounts (e.g. ISAs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4F4E9" w14:textId="77777777" w:rsidR="00EF4230" w:rsidRPr="007F7EC0" w:rsidRDefault="00EF4230" w:rsidP="00EF4230">
      <w:pPr>
        <w:pStyle w:val="Heading2"/>
      </w:pPr>
      <w:bookmarkStart w:id="2" w:name="_Toc468806553"/>
      <w:bookmarkStart w:id="3" w:name="_Toc478036325"/>
      <w:r>
        <w:t>Background</w:t>
      </w:r>
      <w:bookmarkEnd w:id="2"/>
      <w:bookmarkEnd w:id="3"/>
    </w:p>
    <w:p w14:paraId="49C439F4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>
        <w:t>Co. 1 is resident in Country Y.</w:t>
      </w:r>
    </w:p>
    <w:p w14:paraId="07F01F09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 w:rsidRPr="007F7EC0">
        <w:t>Individual 1 is resident in Country X and, except as specified below, there is no other r</w:t>
      </w:r>
      <w:r>
        <w:t>elationship between the parties.</w:t>
      </w:r>
    </w:p>
    <w:p w14:paraId="21E34422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 w:rsidRPr="007F7EC0">
        <w:t>Individual 1 subscribes for a bond issued by Co</w:t>
      </w:r>
      <w:r>
        <w:t>. 1 that pays regular interest.</w:t>
      </w:r>
    </w:p>
    <w:p w14:paraId="26B9981B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 w:rsidRPr="007F7EC0">
        <w:t>The bond is treated as a debt instrument unde</w:t>
      </w:r>
      <w:r>
        <w:t>r the laws of Countries X and Y.</w:t>
      </w:r>
      <w:r w:rsidRPr="007F7EC0">
        <w:t xml:space="preserve"> </w:t>
      </w:r>
    </w:p>
    <w:p w14:paraId="390D0FC9" w14:textId="77777777" w:rsidR="00EF4230" w:rsidRDefault="00EF4230" w:rsidP="00EF4230">
      <w:pPr>
        <w:pStyle w:val="ListBullet"/>
        <w:numPr>
          <w:ilvl w:val="0"/>
          <w:numId w:val="1"/>
        </w:numPr>
      </w:pPr>
      <w:r>
        <w:t xml:space="preserve">Under the law of Country Y </w:t>
      </w:r>
      <w:r w:rsidRPr="007F7EC0">
        <w:t xml:space="preserve">Co. 1 is </w:t>
      </w:r>
      <w:r>
        <w:t>allowed</w:t>
      </w:r>
      <w:r w:rsidRPr="007F7EC0">
        <w:t xml:space="preserve"> a deduction for the interest payments</w:t>
      </w:r>
      <w:r>
        <w:t>.</w:t>
      </w:r>
    </w:p>
    <w:p w14:paraId="452372E7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>
        <w:t>Under the law of Country X the interest receipts</w:t>
      </w:r>
      <w:r w:rsidRPr="007F7EC0">
        <w:t xml:space="preserve"> would usually be treated a</w:t>
      </w:r>
      <w:r>
        <w:t>s ordinary income of the recipient.</w:t>
      </w:r>
    </w:p>
    <w:p w14:paraId="7BFBDC6F" w14:textId="77777777" w:rsidR="00EF4230" w:rsidRPr="007F7EC0" w:rsidRDefault="00EF4230" w:rsidP="00EF4230">
      <w:pPr>
        <w:pStyle w:val="ListBullet"/>
        <w:numPr>
          <w:ilvl w:val="0"/>
          <w:numId w:val="1"/>
        </w:numPr>
      </w:pPr>
      <w:r w:rsidRPr="007F7EC0">
        <w:t>In this case, the bond is held by Individual 1 through a tax exempt personal savings account that entitles the individual to an exemption on any income and gains in respect of qualifying investments held in the account.</w:t>
      </w:r>
      <w:r>
        <w:t xml:space="preserve"> </w:t>
      </w:r>
      <w:r w:rsidRPr="007F7EC0">
        <w:t xml:space="preserve">To be </w:t>
      </w:r>
      <w:r w:rsidRPr="007F7EC0">
        <w:lastRenderedPageBreak/>
        <w:t>eligible as a ‘qualifying investment’ they must be stocks and shares listed or traded on a recognised stock exchange, akin to a UK ISA.</w:t>
      </w:r>
    </w:p>
    <w:p w14:paraId="08448A56" w14:textId="77777777" w:rsidR="00EF4230" w:rsidRDefault="00EF4230" w:rsidP="00EF4230">
      <w:pPr>
        <w:pStyle w:val="ListBullet"/>
        <w:numPr>
          <w:ilvl w:val="0"/>
          <w:numId w:val="1"/>
        </w:numPr>
      </w:pPr>
      <w:r w:rsidRPr="007F7EC0">
        <w:t>The savings account is available to individuals</w:t>
      </w:r>
      <w:r>
        <w:t xml:space="preserve"> only, </w:t>
      </w:r>
      <w:r w:rsidRPr="007F7EC0">
        <w:t>and there are limits on the amount</w:t>
      </w:r>
      <w:r>
        <w:t xml:space="preserve">s </w:t>
      </w:r>
      <w:r w:rsidRPr="007F7EC0">
        <w:t xml:space="preserve">that can be put into the account. </w:t>
      </w:r>
    </w:p>
    <w:p w14:paraId="487BAA08" w14:textId="77777777" w:rsidR="00EF4230" w:rsidRDefault="00EF4230" w:rsidP="00EF4230">
      <w:pPr>
        <w:pStyle w:val="Heading2"/>
      </w:pPr>
      <w:bookmarkStart w:id="4" w:name="_Toc468806554"/>
      <w:bookmarkStart w:id="5" w:name="_Toc478036326"/>
      <w:r w:rsidRPr="007F7EC0">
        <w:t>Analysis – Applying the test in</w:t>
      </w:r>
      <w:r>
        <w:t xml:space="preserve"> s259CA TIOPA 2010</w:t>
      </w:r>
      <w:r w:rsidRPr="007F7EC0">
        <w:t>:</w:t>
      </w:r>
      <w:bookmarkEnd w:id="4"/>
      <w:bookmarkEnd w:id="5"/>
    </w:p>
    <w:p w14:paraId="4B36D5DD" w14:textId="77777777" w:rsidR="00EF4230" w:rsidRDefault="00EF4230" w:rsidP="00EF4230">
      <w:r w:rsidRPr="007F7EC0">
        <w:t>Do the interest payments satisfy the relevant conditions to fall within the scope of the</w:t>
      </w:r>
      <w:r w:rsidRPr="00916872">
        <w:t xml:space="preserve"> </w:t>
      </w:r>
      <w:r>
        <w:t>h</w:t>
      </w:r>
      <w:r w:rsidRPr="00916872">
        <w:t xml:space="preserve">ybrid and </w:t>
      </w:r>
      <w:r>
        <w:t>o</w:t>
      </w:r>
      <w:r w:rsidRPr="00916872">
        <w:t xml:space="preserve">ther </w:t>
      </w:r>
      <w:r>
        <w:t>m</w:t>
      </w:r>
      <w:r w:rsidRPr="00916872">
        <w:t xml:space="preserve">ismatches from </w:t>
      </w:r>
      <w:r>
        <w:t>f</w:t>
      </w:r>
      <w:r w:rsidRPr="00916872">
        <w:t xml:space="preserve">inancial </w:t>
      </w:r>
      <w:r>
        <w:t>i</w:t>
      </w:r>
      <w:r w:rsidRPr="00916872">
        <w:t>nstruments</w:t>
      </w:r>
      <w:r w:rsidRPr="007F7EC0">
        <w:t xml:space="preserve"> rules?</w:t>
      </w:r>
    </w:p>
    <w:p w14:paraId="11B75AC7" w14:textId="77777777" w:rsidR="00EF4230" w:rsidRDefault="00EF4230" w:rsidP="00EF4230">
      <w:r>
        <w:t xml:space="preserve">Note: </w:t>
      </w:r>
      <w:r w:rsidRPr="007F7EC0">
        <w:t xml:space="preserve">Individuals are not subject to these rules, so the counteraction </w:t>
      </w:r>
      <w:r>
        <w:t>at s</w:t>
      </w:r>
      <w:r w:rsidRPr="007F7EC0">
        <w:t xml:space="preserve">259CE </w:t>
      </w:r>
      <w:r>
        <w:t>is not</w:t>
      </w:r>
      <w:r w:rsidRPr="007F7EC0">
        <w:t xml:space="preserve"> applicable.</w:t>
      </w:r>
      <w:r>
        <w:t xml:space="preserve"> </w:t>
      </w:r>
    </w:p>
    <w:p w14:paraId="42222F74" w14:textId="77777777" w:rsidR="00EF4230" w:rsidRPr="007F7EC0" w:rsidRDefault="00EF4230" w:rsidP="00EF4230">
      <w:pPr>
        <w:pStyle w:val="Heading3"/>
      </w:pPr>
      <w:bookmarkStart w:id="6" w:name="_Toc468806555"/>
      <w:bookmarkStart w:id="7" w:name="_Toc478036327"/>
      <w:r w:rsidRPr="007F7EC0">
        <w:t>Condition A:</w:t>
      </w:r>
      <w:r>
        <w:t xml:space="preserve"> </w:t>
      </w:r>
      <w:r w:rsidRPr="007F7EC0">
        <w:t>Are the payments made under, or in connection with, a financial instrument?</w:t>
      </w:r>
      <w:bookmarkEnd w:id="6"/>
      <w:bookmarkEnd w:id="7"/>
      <w:r w:rsidRPr="007F7EC0">
        <w:t xml:space="preserve"> </w:t>
      </w:r>
    </w:p>
    <w:p w14:paraId="34834098" w14:textId="77777777" w:rsidR="00EF4230" w:rsidRDefault="00EF4230" w:rsidP="00EF4230">
      <w:r w:rsidRPr="007F7EC0">
        <w:t>The</w:t>
      </w:r>
      <w:r>
        <w:t>re are</w:t>
      </w:r>
      <w:r w:rsidRPr="007F7EC0">
        <w:t xml:space="preserve"> payments of interest made in satisfaction of the obligations arising under the </w:t>
      </w:r>
      <w:r>
        <w:t>bond.  The bond is</w:t>
      </w:r>
      <w:r w:rsidRPr="007F7EC0">
        <w:t xml:space="preserve"> defined as a financial instrument for the purposes of UK GAAP, and</w:t>
      </w:r>
      <w:r>
        <w:t xml:space="preserve"> is</w:t>
      </w:r>
      <w:r w:rsidRPr="007F7EC0">
        <w:t xml:space="preserve"> therefore within the definition </w:t>
      </w:r>
      <w:r>
        <w:t>of a financial instrument</w:t>
      </w:r>
      <w:r w:rsidRPr="007F7EC0">
        <w:t xml:space="preserve"> in s</w:t>
      </w:r>
      <w:r>
        <w:t>259</w:t>
      </w:r>
      <w:r w:rsidRPr="007F7EC0">
        <w:t>N.</w:t>
      </w:r>
      <w:r>
        <w:t xml:space="preserve"> </w:t>
      </w:r>
    </w:p>
    <w:p w14:paraId="2A51DDB0" w14:textId="77777777" w:rsidR="00EF4230" w:rsidRPr="007C418E" w:rsidRDefault="00EF4230" w:rsidP="00EF4230">
      <w:r w:rsidRPr="007F7EC0">
        <w:t>Condition A is satisfied.</w:t>
      </w:r>
    </w:p>
    <w:p w14:paraId="21B273F1" w14:textId="77777777" w:rsidR="00EF4230" w:rsidRPr="007F7EC0" w:rsidRDefault="00EF4230" w:rsidP="00EF4230">
      <w:pPr>
        <w:pStyle w:val="Heading3"/>
      </w:pPr>
      <w:bookmarkStart w:id="8" w:name="_Toc468806556"/>
      <w:bookmarkStart w:id="9" w:name="_Toc478036328"/>
      <w:r w:rsidRPr="007F7EC0">
        <w:t>Condition B:</w:t>
      </w:r>
      <w:r>
        <w:t xml:space="preserve"> </w:t>
      </w:r>
      <w:r w:rsidRPr="007F7EC0">
        <w:t>Is either Co. 1 or Individual 1 within the charge to corporation tax for a relevant payment period?</w:t>
      </w:r>
      <w:bookmarkEnd w:id="8"/>
      <w:bookmarkEnd w:id="9"/>
    </w:p>
    <w:p w14:paraId="5616B792" w14:textId="77777777" w:rsidR="00EF4230" w:rsidRDefault="00EF4230" w:rsidP="00EF4230">
      <w:r>
        <w:t>The charge to corporation tax is the charge to the corporation tax in the UK.</w:t>
      </w:r>
    </w:p>
    <w:p w14:paraId="408D3FC5" w14:textId="77777777" w:rsidR="00EF4230" w:rsidRDefault="00EF4230" w:rsidP="00EF4230">
      <w:r w:rsidRPr="007F7EC0">
        <w:t>If the UK is Country Y</w:t>
      </w:r>
      <w:r>
        <w:t>,</w:t>
      </w:r>
      <w:r w:rsidRPr="007F7EC0">
        <w:t xml:space="preserve"> then Co. 1 will be within the charge to corporation tax</w:t>
      </w:r>
      <w:r>
        <w:t>.  Condition B will be</w:t>
      </w:r>
      <w:r w:rsidRPr="007F7EC0">
        <w:t xml:space="preserve"> satisfied.</w:t>
      </w:r>
    </w:p>
    <w:p w14:paraId="05D43958" w14:textId="77777777" w:rsidR="00EF4230" w:rsidRDefault="00EF4230" w:rsidP="00EF4230">
      <w:r w:rsidRPr="007F7EC0">
        <w:t xml:space="preserve">If the UK is Country X, then </w:t>
      </w:r>
      <w:r>
        <w:t>condition B</w:t>
      </w:r>
      <w:r w:rsidRPr="007F7EC0">
        <w:t xml:space="preserve"> will not be satisfied as</w:t>
      </w:r>
      <w:r>
        <w:t xml:space="preserve"> Individual 1 is not</w:t>
      </w:r>
      <w:r w:rsidRPr="007F7EC0">
        <w:t xml:space="preserve"> within the charge to corporation tax.</w:t>
      </w:r>
    </w:p>
    <w:p w14:paraId="39A8911A" w14:textId="77777777" w:rsidR="00EF4230" w:rsidRDefault="00EF4230" w:rsidP="00EF4230">
      <w:r w:rsidRPr="007F7EC0">
        <w:t xml:space="preserve">Condition B will be satisfied </w:t>
      </w:r>
      <w:r>
        <w:t xml:space="preserve">only </w:t>
      </w:r>
      <w:r w:rsidRPr="007F7EC0">
        <w:t>if the UK is in the position of Country Y.</w:t>
      </w:r>
    </w:p>
    <w:p w14:paraId="12D36BC3" w14:textId="77777777" w:rsidR="00EF4230" w:rsidRDefault="00EF4230" w:rsidP="00EF4230">
      <w:pPr>
        <w:pStyle w:val="Heading3"/>
      </w:pPr>
      <w:bookmarkStart w:id="10" w:name="_Toc468806557"/>
      <w:bookmarkStart w:id="11" w:name="_Toc478036329"/>
      <w:r w:rsidRPr="007F7EC0">
        <w:t>Condition C:</w:t>
      </w:r>
      <w:r>
        <w:t xml:space="preserve"> </w:t>
      </w:r>
      <w:r w:rsidRPr="007F7EC0">
        <w:t xml:space="preserve">Is it reasonable to </w:t>
      </w:r>
      <w:r>
        <w:t>suppose</w:t>
      </w:r>
      <w:r w:rsidRPr="007F7EC0">
        <w:t xml:space="preserve"> that there would be a ‘hybrid or otherwise impermissible deduction/ non-inclusion mismatch’ in relation to this payment?</w:t>
      </w:r>
      <w:bookmarkEnd w:id="10"/>
      <w:bookmarkEnd w:id="11"/>
    </w:p>
    <w:p w14:paraId="53D9DF19" w14:textId="77777777" w:rsidR="00EF4230" w:rsidRDefault="00EF4230" w:rsidP="00EF4230">
      <w:r>
        <w:t>T</w:t>
      </w:r>
      <w:r w:rsidRPr="007F7EC0">
        <w:t xml:space="preserve">he </w:t>
      </w:r>
      <w:r>
        <w:t>background suggests</w:t>
      </w:r>
      <w:r w:rsidRPr="007F7EC0">
        <w:t xml:space="preserve"> it is reasonable to </w:t>
      </w:r>
      <w:r>
        <w:t>suppose</w:t>
      </w:r>
      <w:r w:rsidRPr="007F7EC0">
        <w:t xml:space="preserve"> </w:t>
      </w:r>
      <w:r>
        <w:t xml:space="preserve">that Country Y </w:t>
      </w:r>
      <w:r w:rsidRPr="007F7EC0">
        <w:t xml:space="preserve">will </w:t>
      </w:r>
      <w:r>
        <w:t>allow</w:t>
      </w:r>
      <w:r w:rsidRPr="007F7EC0">
        <w:t xml:space="preserve"> Co. 1 a deduction (relevant deduction) for the regular interest payments under the bond. It is also reasonable to </w:t>
      </w:r>
      <w:r>
        <w:t xml:space="preserve">suppose </w:t>
      </w:r>
      <w:r w:rsidRPr="007F7EC0">
        <w:t xml:space="preserve">that Country X will not require Individual 1 to bring the </w:t>
      </w:r>
      <w:r>
        <w:t>interest</w:t>
      </w:r>
      <w:r w:rsidRPr="007F7EC0">
        <w:t xml:space="preserve"> receipt into </w:t>
      </w:r>
      <w:r>
        <w:t xml:space="preserve">account as ordinary income for </w:t>
      </w:r>
      <w:r w:rsidRPr="007F7EC0">
        <w:t>tax</w:t>
      </w:r>
      <w:r>
        <w:t xml:space="preserve"> purposes</w:t>
      </w:r>
      <w:r w:rsidRPr="007F7EC0">
        <w:t xml:space="preserve">. </w:t>
      </w:r>
    </w:p>
    <w:p w14:paraId="685091F4" w14:textId="77777777" w:rsidR="00EF4230" w:rsidRDefault="00EF4230" w:rsidP="00EF4230">
      <w:r>
        <w:t>This creates a potential</w:t>
      </w:r>
      <w:r w:rsidRPr="007F7EC0">
        <w:t xml:space="preserve"> Case 1</w:t>
      </w:r>
      <w:r>
        <w:t xml:space="preserve"> mismatch as defined</w:t>
      </w:r>
      <w:r w:rsidRPr="007F7EC0">
        <w:t xml:space="preserve"> at </w:t>
      </w:r>
      <w:r>
        <w:t>s</w:t>
      </w:r>
      <w:r w:rsidRPr="007F7EC0">
        <w:t>259CB(2)</w:t>
      </w:r>
      <w:r>
        <w:t>. Applying the relevant assumption at s259CB(4)(a) the mismatch does not arise by reason of the terms or any other feature of the financial instrument</w:t>
      </w:r>
      <w:r w:rsidRPr="007F7EC0">
        <w:t>, but because of unilateral relief granted by Country X to Individual 1 for investments that are held within a specified account.</w:t>
      </w:r>
    </w:p>
    <w:p w14:paraId="75FC2F9B" w14:textId="77777777" w:rsidR="00EF4230" w:rsidRDefault="00EF4230" w:rsidP="00EF4230">
      <w:r>
        <w:t>Condition C is not satisfied.  No further analysis is needed</w:t>
      </w:r>
      <w:bookmarkStart w:id="12" w:name="_Toc468806559"/>
      <w:bookmarkStart w:id="13" w:name="_Toc478036331"/>
    </w:p>
    <w:p w14:paraId="66BB31B6" w14:textId="77777777" w:rsidR="00EF4230" w:rsidRPr="0031679F" w:rsidRDefault="00EF4230" w:rsidP="00EF4230">
      <w:pPr>
        <w:pStyle w:val="Heading3"/>
      </w:pPr>
      <w:bookmarkStart w:id="14" w:name="_Toc468806560"/>
      <w:bookmarkStart w:id="15" w:name="_Toc478036332"/>
      <w:bookmarkEnd w:id="12"/>
      <w:bookmarkEnd w:id="13"/>
      <w:r w:rsidRPr="0031679F">
        <w:lastRenderedPageBreak/>
        <w:t>Application to similar circumstances</w:t>
      </w:r>
      <w:bookmarkEnd w:id="14"/>
      <w:bookmarkEnd w:id="15"/>
    </w:p>
    <w:p w14:paraId="366EFC3E" w14:textId="77777777" w:rsidR="00EF4230" w:rsidRDefault="00EF4230" w:rsidP="00EF4230">
      <w:r w:rsidRPr="0031679F">
        <w:t xml:space="preserve">The analysis provided above in respect of tax exempt accounts would also be applicable in relation to other mismatches where the mismatch arises </w:t>
      </w:r>
      <w:r>
        <w:t>from a</w:t>
      </w:r>
      <w:r w:rsidRPr="0031679F">
        <w:t xml:space="preserve"> unilateral relief granted by Country Y</w:t>
      </w:r>
      <w:r>
        <w:t xml:space="preserve">.  </w:t>
      </w:r>
    </w:p>
    <w:p w14:paraId="5ACFAA4B" w14:textId="77777777" w:rsidR="00EF4230" w:rsidRPr="0031679F" w:rsidRDefault="00EF4230" w:rsidP="00EF4230">
      <w:r>
        <w:t>F</w:t>
      </w:r>
      <w:r w:rsidRPr="0031679F">
        <w:t>or example, Excluded Indexed Securities (EIS) which are designed to meet the requirements of section 433 ITTOIA 2005</w:t>
      </w:r>
      <w:r>
        <w:t xml:space="preserve"> and</w:t>
      </w:r>
      <w:r w:rsidRPr="0031679F">
        <w:t xml:space="preserve"> produce a capital return for individual investors.</w:t>
      </w:r>
    </w:p>
    <w:p w14:paraId="6BC4DBEE" w14:textId="77777777" w:rsidR="00EF4230" w:rsidRDefault="00EF4230" w:rsidP="00EF4230">
      <w:r>
        <w:t>A</w:t>
      </w:r>
      <w:r w:rsidRPr="007F7EC0">
        <w:t>n impermissible mismatch occur</w:t>
      </w:r>
      <w:r>
        <w:t>s only if</w:t>
      </w:r>
      <w:r w:rsidRPr="007F7EC0">
        <w:t xml:space="preserve"> either Case 1 at </w:t>
      </w:r>
      <w:r>
        <w:t>s</w:t>
      </w:r>
      <w:r w:rsidRPr="007F7EC0">
        <w:t xml:space="preserve">259CB(2) or Case 2 at </w:t>
      </w:r>
      <w:r>
        <w:t>s</w:t>
      </w:r>
      <w:r w:rsidRPr="007F7EC0">
        <w:t>259CB(</w:t>
      </w:r>
      <w:r>
        <w:t>7</w:t>
      </w:r>
      <w:r w:rsidRPr="007F7EC0">
        <w:t xml:space="preserve">) apply. </w:t>
      </w:r>
      <w:r>
        <w:t>Case 2 is not relevant, as there is no under-taxed amount. Case 1 is not</w:t>
      </w:r>
      <w:r w:rsidRPr="007F7EC0">
        <w:t xml:space="preserve"> satisfied </w:t>
      </w:r>
      <w:r>
        <w:t xml:space="preserve">because, when considering the relevant assumptions at s259CB(5), there would not be a mismatch if the issuance did not meet the EIS requirements of s433 ITTOIA 2005. </w:t>
      </w:r>
    </w:p>
    <w:bookmarkStart w:id="16" w:name="_Hlk90048850"/>
    <w:bookmarkStart w:id="17" w:name="_Hlk90049141"/>
    <w:p w14:paraId="01F10429" w14:textId="77777777" w:rsidR="00675CC6" w:rsidRDefault="00675CC6" w:rsidP="00675CC6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6"/>
      <w:r>
        <w:t xml:space="preserve"> </w:t>
      </w:r>
      <w:bookmarkEnd w:id="17"/>
    </w:p>
    <w:p w14:paraId="2D1490D0" w14:textId="77777777" w:rsidR="00714BF2" w:rsidRDefault="00D80AB1"/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D1153" w14:textId="77777777" w:rsidR="00D80AB1" w:rsidRDefault="00D80AB1" w:rsidP="00EF4230">
      <w:pPr>
        <w:spacing w:after="0"/>
      </w:pPr>
      <w:r>
        <w:separator/>
      </w:r>
    </w:p>
  </w:endnote>
  <w:endnote w:type="continuationSeparator" w:id="0">
    <w:p w14:paraId="74329789" w14:textId="77777777" w:rsidR="00D80AB1" w:rsidRDefault="00D80AB1" w:rsidP="00EF42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AEF5" w14:textId="77777777" w:rsidR="00675CC6" w:rsidRDefault="00675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342A0" w14:textId="41B5484B" w:rsidR="00EF4230" w:rsidRDefault="00EF42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34D05" wp14:editId="5C86764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cb04956a168d6d37bb28c4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92472" w14:textId="497D8C47" w:rsidR="00EF4230" w:rsidRPr="00EF4230" w:rsidRDefault="00EF4230" w:rsidP="00EF423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423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34D05" id="_x0000_t202" coordsize="21600,21600" o:spt="202" path="m,l,21600r21600,l21600,xe">
              <v:stroke joinstyle="miter"/>
              <v:path gradientshapeok="t" o:connecttype="rect"/>
            </v:shapetype>
            <v:shape id="MSIPCMdcb04956a168d6d37bb28c49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KVj6OW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4992472" w14:textId="497D8C47" w:rsidR="00EF4230" w:rsidRPr="00EF4230" w:rsidRDefault="00EF4230" w:rsidP="00EF423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423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9673" w14:textId="77777777" w:rsidR="00675CC6" w:rsidRDefault="0067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07F44" w14:textId="77777777" w:rsidR="00D80AB1" w:rsidRDefault="00D80AB1" w:rsidP="00EF4230">
      <w:pPr>
        <w:spacing w:after="0"/>
      </w:pPr>
      <w:r>
        <w:separator/>
      </w:r>
    </w:p>
  </w:footnote>
  <w:footnote w:type="continuationSeparator" w:id="0">
    <w:p w14:paraId="427C2FF7" w14:textId="77777777" w:rsidR="00D80AB1" w:rsidRDefault="00D80AB1" w:rsidP="00EF42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37FE" w14:textId="77777777" w:rsidR="00675CC6" w:rsidRDefault="0067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0E7A" w14:textId="77777777" w:rsidR="00675CC6" w:rsidRDefault="00675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4BAA" w14:textId="77777777" w:rsidR="00675CC6" w:rsidRDefault="0067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165C1"/>
    <w:multiLevelType w:val="hybridMultilevel"/>
    <w:tmpl w:val="D146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30"/>
    <w:rsid w:val="001F0F8E"/>
    <w:rsid w:val="00675CC6"/>
    <w:rsid w:val="007F5080"/>
    <w:rsid w:val="00D80AB1"/>
    <w:rsid w:val="00EA0CE8"/>
    <w:rsid w:val="00EB1CDF"/>
    <w:rsid w:val="00E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62A8D"/>
  <w15:chartTrackingRefBased/>
  <w15:docId w15:val="{A198E3CD-D8CF-4A7F-AE52-86224B7D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EF4230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F4230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F4230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EF4230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230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4230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F4230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EF4230"/>
  </w:style>
  <w:style w:type="character" w:customStyle="1" w:styleId="BodyTextChar">
    <w:name w:val="Body Text Char"/>
    <w:basedOn w:val="DefaultParagraphFont"/>
    <w:link w:val="BodyText"/>
    <w:rsid w:val="00EF4230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EF4230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EF4230"/>
  </w:style>
  <w:style w:type="paragraph" w:styleId="Header">
    <w:name w:val="header"/>
    <w:basedOn w:val="Normal"/>
    <w:link w:val="HeaderChar"/>
    <w:uiPriority w:val="99"/>
    <w:unhideWhenUsed/>
    <w:rsid w:val="00EF42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423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F42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423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6C713-5C88-4488-BC38-431F2DC3709B}"/>
</file>

<file path=customXml/itemProps2.xml><?xml version="1.0" encoding="utf-8"?>
<ds:datastoreItem xmlns:ds="http://schemas.openxmlformats.org/officeDocument/2006/customXml" ds:itemID="{EBF54319-7E47-425A-B134-DBE9478B1F5D}"/>
</file>

<file path=customXml/itemProps3.xml><?xml version="1.0" encoding="utf-8"?>
<ds:datastoreItem xmlns:ds="http://schemas.openxmlformats.org/officeDocument/2006/customXml" ds:itemID="{F1DDBAC3-D9CD-40D0-9746-9E72EEBBE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2021-12-10T15:47:00Z</dcterms:created>
  <dcterms:modified xsi:type="dcterms:W3CDTF">2021-12-10T17:23:00Z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2021-12-10T15:49:05Z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d1eb6647-c720-4b89-9494-4893dc0a8dd7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