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INTM489884</w:t>
      </w:r>
      <w:bookmarkStart w:id="0" w:name="_GoBack"/>
      <w:bookmarkEnd w:id="0"/>
      <w:r w:rsidRPr="009C6E86">
        <w:rPr>
          <w:rFonts w:ascii="Arial" w:eastAsia="Calibri" w:hAnsi="Arial" w:cs="Arial"/>
          <w:b/>
        </w:rPr>
        <w:t xml:space="preserve"> - Outline of the Diverted Profits Tax process</w:t>
      </w: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  <w:r w:rsidRPr="009C6E8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D14130" wp14:editId="7ABEB56C">
                <wp:simplePos x="0" y="0"/>
                <wp:positionH relativeFrom="margin">
                  <wp:align>center</wp:align>
                </wp:positionH>
                <wp:positionV relativeFrom="paragraph">
                  <wp:posOffset>138430</wp:posOffset>
                </wp:positionV>
                <wp:extent cx="6728938" cy="8543925"/>
                <wp:effectExtent l="0" t="0" r="15240" b="28575"/>
                <wp:wrapNone/>
                <wp:docPr id="85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8938" cy="8543925"/>
                          <a:chOff x="-785768" y="0"/>
                          <a:chExt cx="6836048" cy="8763000"/>
                        </a:xfrm>
                      </wpg:grpSpPr>
                      <wps:wsp>
                        <wps:cNvPr id="853" name="Rectangle 853"/>
                        <wps:cNvSpPr>
                          <a:spLocks noChangeArrowheads="1"/>
                        </wps:cNvSpPr>
                        <wps:spPr bwMode="auto">
                          <a:xfrm>
                            <a:off x="1211580" y="0"/>
                            <a:ext cx="2438400" cy="1089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789" w:rsidRDefault="00215789" w:rsidP="0021578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Company must notify it is potentially within the scope of DPT within 3 months of the end of the accounting period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2595337" y="1805891"/>
                            <a:ext cx="2430780" cy="103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789" w:rsidRDefault="00215789" w:rsidP="0021578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In a s86 case HMRC may issue a preliminary notice of chargeability within 2 years of the end of the accounting period (4 years if no notification)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Rectangle 855"/>
                        <wps:cNvSpPr>
                          <a:spLocks noChangeArrowheads="1"/>
                        </wps:cNvSpPr>
                        <wps:spPr bwMode="auto">
                          <a:xfrm>
                            <a:off x="4225290" y="739824"/>
                            <a:ext cx="1824990" cy="913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789" w:rsidRDefault="00215789" w:rsidP="0021578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If the company does not make the notification it may be liable to a penalty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1203960" y="3455670"/>
                            <a:ext cx="2446020" cy="735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789" w:rsidRDefault="00215789" w:rsidP="0021578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The company has 30 days from issue of the preliminary notice to make representations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4149090" y="3004971"/>
                            <a:ext cx="1824990" cy="163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789" w:rsidRDefault="00215789" w:rsidP="0021578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Representation can be made, and HMRC must consider only on certain factual matters and the threshold conditions, but not at this stage on other matters (including transfer pricing)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1226820" y="4948555"/>
                            <a:ext cx="2438400" cy="1269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789" w:rsidRDefault="00215789" w:rsidP="0021578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Having considered the representations, HMRC must either issue a charging notice, or confirm that no charging notice will be issued, within 30 days from the end of the representation period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Rectangle 859"/>
                        <wps:cNvSpPr>
                          <a:spLocks noChangeArrowheads="1"/>
                        </wps:cNvSpPr>
                        <wps:spPr bwMode="auto">
                          <a:xfrm>
                            <a:off x="4149090" y="5118320"/>
                            <a:ext cx="1901190" cy="928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789" w:rsidRDefault="00215789" w:rsidP="0021578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DPT must be paid within 30 days from the issue of the charging notice and there is no right to postpone the tax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Rectangle 860"/>
                        <wps:cNvSpPr>
                          <a:spLocks noChangeArrowheads="1"/>
                        </wps:cNvSpPr>
                        <wps:spPr bwMode="auto">
                          <a:xfrm>
                            <a:off x="1207770" y="6951980"/>
                            <a:ext cx="2442210" cy="181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789" w:rsidRDefault="00215789" w:rsidP="0021578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There is a 15-month period beginning immediately after the date by which the tax must paid for HMRC to review the charging notice and during which HMRC may issue a supplementary charging notice or appropriate amending notices increasing or reducing the DPT. Any overpaid DPT must be repaid with interest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Rectangle 861"/>
                        <wps:cNvSpPr>
                          <a:spLocks noChangeArrowheads="1"/>
                        </wps:cNvSpPr>
                        <wps:spPr bwMode="auto">
                          <a:xfrm>
                            <a:off x="4185645" y="7143737"/>
                            <a:ext cx="1814195" cy="146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789" w:rsidRDefault="00215789" w:rsidP="0021578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The company has 30 days from the end of the review period to appeal in writing against a charging notice or supplementary charging notice or the DPT becomes final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Rectangle 862"/>
                        <wps:cNvSpPr>
                          <a:spLocks noChangeArrowheads="1"/>
                        </wps:cNvSpPr>
                        <wps:spPr bwMode="auto">
                          <a:xfrm>
                            <a:off x="-785768" y="4982033"/>
                            <a:ext cx="1867587" cy="1235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789" w:rsidRDefault="00215789" w:rsidP="0021578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Charge to tax includes an interest element on the DPT from 6 months after the end of the accounting period to the date the notice is issued (“true up” interest)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Striped Right Arrow 863"/>
                        <wps:cNvSpPr/>
                        <wps:spPr>
                          <a:xfrm rot="5400000">
                            <a:off x="2089310" y="1121571"/>
                            <a:ext cx="707705" cy="674370"/>
                          </a:xfrm>
                          <a:prstGeom prst="striped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t"/>
                      </wps:wsp>
                      <wps:wsp>
                        <wps:cNvPr id="864" name="Striped Right Arrow 864"/>
                        <wps:cNvSpPr/>
                        <wps:spPr>
                          <a:xfrm rot="5400000">
                            <a:off x="2081690" y="2759872"/>
                            <a:ext cx="707705" cy="674370"/>
                          </a:xfrm>
                          <a:prstGeom prst="striped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t"/>
                      </wps:wsp>
                      <wps:wsp>
                        <wps:cNvPr id="865" name="Striped Right Arrow 865"/>
                        <wps:cNvSpPr/>
                        <wps:spPr>
                          <a:xfrm rot="5400000">
                            <a:off x="2081690" y="4230533"/>
                            <a:ext cx="707705" cy="674370"/>
                          </a:xfrm>
                          <a:prstGeom prst="striped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t"/>
                      </wps:wsp>
                      <wps:wsp>
                        <wps:cNvPr id="866" name="Striped Right Arrow 866"/>
                        <wps:cNvSpPr/>
                        <wps:spPr>
                          <a:xfrm rot="5400000">
                            <a:off x="2074070" y="6242214"/>
                            <a:ext cx="707705" cy="674370"/>
                          </a:xfrm>
                          <a:prstGeom prst="striped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D14130" id="Group 1" o:spid="_x0000_s1026" style="position:absolute;left:0;text-align:left;margin-left:0;margin-top:10.9pt;width:529.85pt;height:672.75pt;z-index:251659264;mso-position-horizontal:center;mso-position-horizontal-relative:margin;mso-width-relative:margin;mso-height-relative:margin" coordorigin="-7857" coordsize="68360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">
                <v:rect id="Rectangle 853" o:spid="_x0000_s1027" style="position:absolute;left:12115;width:24384;height:10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ZhW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rGwwG8zoQjIOdPAAAA//8DAFBLAQItABQABgAIAAAAIQDb4fbL7gAAAIUBAAATAAAAAAAAAAAA&#10;AAAAAAAAAABbQ29udGVudF9UeXBlc10ueG1sUEsBAi0AFAAGAAgAAAAhAFr0LFu/AAAAFQEAAAsA&#10;AAAAAAAAAAAAAAAAHwEAAF9yZWxzLy5yZWxzUEsBAi0AFAAGAAgAAAAhAOUxmFbEAAAA3AAAAA8A&#10;AAAAAAAAAAAAAAAABwIAAGRycy9kb3ducmV2LnhtbFBLBQYAAAAAAwADALcAAAD4AgAAAAA=&#10;">
                  <v:textbox>
                    <w:txbxContent>
                      <w:p w:rsidR="00215789" w:rsidRDefault="00215789" w:rsidP="0021578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Company must notify it is potentially within the scope of DPT within 3 months of the end of the accounting period </w:t>
                        </w:r>
                      </w:p>
                    </w:txbxContent>
                  </v:textbox>
                </v:rect>
                <v:rect id="Rectangle 854" o:spid="_x0000_s1028" style="position:absolute;left:25953;top:18058;width:24308;height:10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AAi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WT0RD+z4QjIGd/AAAA//8DAFBLAQItABQABgAIAAAAIQDb4fbL7gAAAIUBAAATAAAAAAAAAAAA&#10;AAAAAAAAAABbQ29udGVudF9UeXBlc10ueG1sUEsBAi0AFAAGAAgAAAAhAFr0LFu/AAAAFQEAAAsA&#10;AAAAAAAAAAAAAAAAHwEAAF9yZWxzLy5yZWxzUEsBAi0AFAAGAAgAAAAhAGrYACLEAAAA3AAAAA8A&#10;AAAAAAAAAAAAAAAABwIAAGRycy9kb3ducmV2LnhtbFBLBQYAAAAAAwADALcAAAD4AgAAAAA=&#10;">
                  <v:textbox>
                    <w:txbxContent>
                      <w:p w:rsidR="00215789" w:rsidRDefault="00215789" w:rsidP="0021578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In a s86 case HMRC may issue a preliminary notice of chargeability within 2 years of the end of the accounting period (4 years if no notification)</w:t>
                        </w:r>
                      </w:p>
                    </w:txbxContent>
                  </v:textbox>
                </v:rect>
                <v:rect id="Rectangle 855" o:spid="_x0000_s1029" style="position:absolute;left:42252;top:7398;width:18250;height:9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">
                  <v:textbox>
                    <w:txbxContent>
                      <w:p w:rsidR="00215789" w:rsidRDefault="00215789" w:rsidP="0021578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If the company does not make the notification it may be liable to a penalty</w:t>
                        </w:r>
                      </w:p>
                    </w:txbxContent>
                  </v:textbox>
                </v:rect>
                <v:rect id="Rectangle 856" o:spid="_x0000_s1030" style="position:absolute;left:12039;top:34556;width:24460;height:7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">
                  <v:textbox>
                    <w:txbxContent>
                      <w:p w:rsidR="00215789" w:rsidRDefault="00215789" w:rsidP="0021578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The company has 30 days from issue of the preliminary notice to make representations </w:t>
                        </w:r>
                      </w:p>
                    </w:txbxContent>
                  </v:textbox>
                </v:rect>
                <v:rect id="Rectangle 857" o:spid="_x0000_s1031" style="position:absolute;left:41490;top:30049;width:18250;height:16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">
                  <v:textbox>
                    <w:txbxContent>
                      <w:p w:rsidR="00215789" w:rsidRDefault="00215789" w:rsidP="0021578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Representation can be made, and HMRC must consider only on certain factual matters and the threshold conditions, but not at this stage on other matters (including transfer pricing) </w:t>
                        </w:r>
                      </w:p>
                    </w:txbxContent>
                  </v:textbox>
                </v:rect>
                <v:rect id="Rectangle 858" o:spid="_x0000_s1032" style="position:absolute;left:12268;top:49485;width:24384;height:1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">
                  <v:textbox>
                    <w:txbxContent>
                      <w:p w:rsidR="00215789" w:rsidRDefault="00215789" w:rsidP="0021578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Having considered the representations, HMRC must either issue a charging notice, or confirm that no charging notice will be issued, within 30 days from the end of the representation period</w:t>
                        </w:r>
                      </w:p>
                    </w:txbxContent>
                  </v:textbox>
                </v:rect>
                <v:rect id="Rectangle 859" o:spid="_x0000_s1033" style="position:absolute;left:41490;top:51183;width:19012;height:9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">
                  <v:textbox>
                    <w:txbxContent>
                      <w:p w:rsidR="00215789" w:rsidRDefault="00215789" w:rsidP="0021578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DPT must be paid within 30 days from the issue of the charging notice and there is no right to postpone the tax</w:t>
                        </w:r>
                      </w:p>
                    </w:txbxContent>
                  </v:textbox>
                </v:rect>
                <v:rect id="Rectangle 860" o:spid="_x0000_s1034" style="position:absolute;left:12077;top:69519;width:24422;height:18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">
                  <v:textbox>
                    <w:txbxContent>
                      <w:p w:rsidR="00215789" w:rsidRDefault="00215789" w:rsidP="0021578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There is a 15-month period beginning immediately after the date by which the tax must paid for HMRC to review the charging notice and during which HMRC may issue a supplementary charging notice or appropriate amending notices increasing or reducing the DPT. Any overpaid DPT must be repaid with interest</w:t>
                        </w:r>
                      </w:p>
                    </w:txbxContent>
                  </v:textbox>
                </v:rect>
                <v:rect id="Rectangle 861" o:spid="_x0000_s1035" style="position:absolute;left:41856;top:71437;width:18142;height:14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">
                  <v:textbox>
                    <w:txbxContent>
                      <w:p w:rsidR="00215789" w:rsidRDefault="00215789" w:rsidP="0021578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The company has 30 days from the end of the review period to appeal in writing against a charging notice or supplementary charging notice or the DPT becomes final</w:t>
                        </w:r>
                      </w:p>
                    </w:txbxContent>
                  </v:textbox>
                </v:rect>
                <v:rect id="Rectangle 862" o:spid="_x0000_s1036" style="position:absolute;left:-7857;top:49820;width:18675;height:1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fdw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LZNIbnmXAE5PIfAAD//wMAUEsBAi0AFAAGAAgAAAAhANvh9svuAAAAhQEAABMAAAAAAAAAAAAA&#10;AAAAAAAAAFtDb250ZW50X1R5cGVzXS54bWxQSwECLQAUAAYACAAAACEAWvQsW78AAAAVAQAACwAA&#10;AAAAAAAAAAAAAAAfAQAAX3JlbHMvLnJlbHNQSwECLQAUAAYACAAAACEARBH3cMMAAADcAAAADwAA&#10;AAAAAAAAAAAAAAAHAgAAZHJzL2Rvd25yZXYueG1sUEsFBgAAAAADAAMAtwAAAPcCAAAAAA==&#10;">
                  <v:textbox>
                    <w:txbxContent>
                      <w:p w:rsidR="00215789" w:rsidRDefault="00215789" w:rsidP="0021578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Charge to tax includes an interest element on the DPT from 6 months after the end of the accounting period to the date the notice is issued (“true up” interest)</w:t>
                        </w:r>
                      </w:p>
                    </w:txbxContent>
                  </v:textbox>
                </v: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Striped Right Arrow 863" o:spid="_x0000_s1037" type="#_x0000_t93" style="position:absolute;left:20892;top:11216;width:7077;height:674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" adj="11309" fillcolor="#5b9bd5" strokecolor="#41719c" strokeweight="1pt"/>
                <v:shape id="Striped Right Arrow 864" o:spid="_x0000_s1038" type="#_x0000_t93" style="position:absolute;left:20816;top:27599;width:7077;height:674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" adj="11309" fillcolor="#5b9bd5" strokecolor="#41719c" strokeweight="1pt"/>
                <v:shape id="Striped Right Arrow 865" o:spid="_x0000_s1039" type="#_x0000_t93" style="position:absolute;left:20816;top:42305;width:7077;height:674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" adj="11309" fillcolor="#5b9bd5" strokecolor="#41719c" strokeweight="1pt"/>
                <v:shape id="Striped Right Arrow 866" o:spid="_x0000_s1040" type="#_x0000_t93" style="position:absolute;left:20740;top:62422;width:7077;height:674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" adj="11309" fillcolor="#5b9bd5" strokecolor="#41719c" strokeweight="1pt"/>
                <w10:wrap anchorx="margin"/>
              </v:group>
            </w:pict>
          </mc:Fallback>
        </mc:AlternateContent>
      </w: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2F6CF" wp14:editId="01031F5F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2443163" cy="1188076"/>
                <wp:effectExtent l="0" t="0" r="14605" b="12700"/>
                <wp:wrapNone/>
                <wp:docPr id="452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3163" cy="1188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789" w:rsidRPr="008651E6" w:rsidRDefault="00215789" w:rsidP="00215789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12C0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In a s80 or s81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case </w:t>
                            </w:r>
                            <w:r w:rsidRPr="00D12C0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HMRC may issue a preliminary notice within 6 months of the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last</w:t>
                            </w:r>
                            <w:r w:rsidRPr="00D12C0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day the company can amend their tax return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(4 years after the </w:t>
                            </w: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end of the accounting period if no notification)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2F6CF" id="Rectangle 452" o:spid="_x0000_s1041" style="position:absolute;left:0;text-align:left;margin-left:0;margin-top:20.8pt;width:192.4pt;height:93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">
                <v:textbox>
                  <w:txbxContent>
                    <w:p w:rsidR="00215789" w:rsidRPr="008651E6" w:rsidRDefault="00215789" w:rsidP="00215789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12C0A">
                        <w:rPr>
                          <w:rFonts w:asciiTheme="minorHAnsi" w:hAnsiTheme="minorHAnsi" w:cstheme="minorHAnsi"/>
                          <w:sz w:val="22"/>
                        </w:rPr>
                        <w:t xml:space="preserve">In a s80 or s81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case </w:t>
                      </w:r>
                      <w:r w:rsidRPr="00D12C0A">
                        <w:rPr>
                          <w:rFonts w:asciiTheme="minorHAnsi" w:hAnsiTheme="minorHAnsi" w:cstheme="minorHAnsi"/>
                          <w:sz w:val="22"/>
                        </w:rPr>
                        <w:t xml:space="preserve">HMRC may issue a preliminary notice within 6 months of the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last</w:t>
                      </w:r>
                      <w:r w:rsidRPr="00D12C0A">
                        <w:rPr>
                          <w:rFonts w:asciiTheme="minorHAnsi" w:hAnsiTheme="minorHAnsi" w:cstheme="minorHAnsi"/>
                          <w:sz w:val="22"/>
                        </w:rPr>
                        <w:t xml:space="preserve"> day the company can amend their tax return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(4 years after the </w:t>
                      </w: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end of the accounting period if no notification)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215789" w:rsidRPr="009C6E86" w:rsidRDefault="00215789" w:rsidP="00215789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5D5B38" w:rsidRDefault="005D5B38"/>
    <w:sectPr w:rsidR="005D5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789" w:rsidRDefault="00215789" w:rsidP="00215789">
      <w:pPr>
        <w:spacing w:after="0" w:line="240" w:lineRule="auto"/>
      </w:pPr>
      <w:r>
        <w:separator/>
      </w:r>
    </w:p>
  </w:endnote>
  <w:endnote w:type="continuationSeparator" w:id="0">
    <w:p w:rsidR="00215789" w:rsidRDefault="00215789" w:rsidP="0021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789" w:rsidRDefault="00215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789" w:rsidRDefault="002157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e26424ea219c88e0f878c10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5789" w:rsidRPr="00215789" w:rsidRDefault="00215789" w:rsidP="0021578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1578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e26424ea219c88e0f878c10" o:spid="_x0000_s1042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AWT9D4ZAwAANwYAAA4AAAAAAAAAAAAA&#10;AAAALgIAAGRycy9lMm9Eb2MueG1sUEsBAi0AFAAGAAgAAAAhAJ/VQez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215789" w:rsidRPr="00215789" w:rsidRDefault="00215789" w:rsidP="0021578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15789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789" w:rsidRDefault="00215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789" w:rsidRDefault="00215789" w:rsidP="00215789">
      <w:pPr>
        <w:spacing w:after="0" w:line="240" w:lineRule="auto"/>
      </w:pPr>
      <w:r>
        <w:separator/>
      </w:r>
    </w:p>
  </w:footnote>
  <w:footnote w:type="continuationSeparator" w:id="0">
    <w:p w:rsidR="00215789" w:rsidRDefault="00215789" w:rsidP="0021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789" w:rsidRDefault="00215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789" w:rsidRDefault="002157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789" w:rsidRDefault="002157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89"/>
    <w:rsid w:val="00093EC1"/>
    <w:rsid w:val="00215789"/>
    <w:rsid w:val="005D5B38"/>
    <w:rsid w:val="00B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D3CBC"/>
  <w15:chartTrackingRefBased/>
  <w15:docId w15:val="{DD41172F-9EA2-47B1-8E7F-CCD0CE7D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5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5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789"/>
  </w:style>
  <w:style w:type="paragraph" w:styleId="Footer">
    <w:name w:val="footer"/>
    <w:basedOn w:val="Normal"/>
    <w:link w:val="FooterChar"/>
    <w:uiPriority w:val="99"/>
    <w:unhideWhenUsed/>
    <w:rsid w:val="00215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2020-12-09T12:32:00Z</dcterms:created>
  <dcterms:modified xsi:type="dcterms:W3CDTF">2020-12-09T12:35:00Z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2020-12-09T12:35:24Z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bc7f3cce-d101-41a9-9be1-9c2e18f7e870</vt:lpwstr>
  </property>
  <property fmtid="{D5CDD505-2E9C-101B-9397-08002B2CF9AE}" pid="8" name="MSIP_Label_f9af038e-07b4-4369-a678-c835687cb272_ContentBits">
    <vt:lpwstr>2</vt:lpwstr>
  </property>
</Properties>
</file>