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06D" w:rsidRPr="009C6E86" w:rsidRDefault="00C8106D" w:rsidP="00C8106D">
      <w:pPr>
        <w:rPr>
          <w:rFonts w:ascii="Arial" w:hAnsi="Arial" w:cs="Arial"/>
          <w:b/>
          <w:u w:val="single"/>
        </w:rPr>
      </w:pPr>
      <w:r>
        <w:rPr>
          <w:rFonts w:ascii="Arial" w:hAnsi="Arial" w:cs="Arial"/>
          <w:b/>
          <w:u w:val="single"/>
        </w:rPr>
        <w:t>INTM489825</w:t>
      </w:r>
      <w:bookmarkStart w:id="0" w:name="_GoBack"/>
      <w:bookmarkEnd w:id="0"/>
      <w:r w:rsidRPr="009C6E86">
        <w:rPr>
          <w:rFonts w:ascii="Arial" w:hAnsi="Arial" w:cs="Arial"/>
          <w:b/>
          <w:u w:val="single"/>
        </w:rPr>
        <w:t xml:space="preserve"> - CHART 2B: ‘Excepted’ Avoided PE (Section 86(5))</w:t>
      </w:r>
    </w:p>
    <w:p w:rsidR="00C8106D" w:rsidRPr="009C6E86" w:rsidRDefault="00C8106D" w:rsidP="00C8106D">
      <w:pPr>
        <w:rPr>
          <w:rFonts w:ascii="Arial" w:hAnsi="Arial" w:cs="Arial"/>
        </w:rPr>
      </w:pPr>
      <w:r w:rsidRPr="009C6E86">
        <w:rPr>
          <w:rFonts w:ascii="Arial" w:hAnsi="Arial" w:cs="Arial"/>
          <w:noProof/>
          <w:lang w:eastAsia="en-GB"/>
        </w:rPr>
        <mc:AlternateContent>
          <mc:Choice Requires="wpg">
            <w:drawing>
              <wp:anchor distT="0" distB="0" distL="114300" distR="114300" simplePos="0" relativeHeight="251659264" behindDoc="0" locked="0" layoutInCell="1" allowOverlap="1" wp14:anchorId="3FEB7FD4" wp14:editId="4893B75D">
                <wp:simplePos x="0" y="0"/>
                <wp:positionH relativeFrom="margin">
                  <wp:posOffset>266700</wp:posOffset>
                </wp:positionH>
                <wp:positionV relativeFrom="paragraph">
                  <wp:posOffset>256540</wp:posOffset>
                </wp:positionV>
                <wp:extent cx="6141085" cy="9098280"/>
                <wp:effectExtent l="0" t="0" r="12065" b="26670"/>
                <wp:wrapNone/>
                <wp:docPr id="703" name="Group 2"/>
                <wp:cNvGraphicFramePr/>
                <a:graphic xmlns:a="http://schemas.openxmlformats.org/drawingml/2006/main">
                  <a:graphicData uri="http://schemas.microsoft.com/office/word/2010/wordprocessingGroup">
                    <wpg:wgp>
                      <wpg:cNvGrpSpPr/>
                      <wpg:grpSpPr>
                        <a:xfrm>
                          <a:off x="0" y="0"/>
                          <a:ext cx="6141085" cy="9098280"/>
                          <a:chOff x="-45663" y="0"/>
                          <a:chExt cx="6134044" cy="9240441"/>
                        </a:xfrm>
                      </wpg:grpSpPr>
                      <wps:wsp>
                        <wps:cNvPr id="704" name="Text Box 704"/>
                        <wps:cNvSpPr txBox="1">
                          <a:spLocks noChangeArrowheads="1"/>
                        </wps:cNvSpPr>
                        <wps:spPr bwMode="auto">
                          <a:xfrm>
                            <a:off x="4899660" y="4961196"/>
                            <a:ext cx="400050" cy="243264"/>
                          </a:xfrm>
                          <a:prstGeom prst="rect">
                            <a:avLst/>
                          </a:prstGeom>
                          <a:solidFill>
                            <a:srgbClr val="FFFFFF"/>
                          </a:solidFill>
                          <a:ln w="9525">
                            <a:noFill/>
                            <a:miter lim="800000"/>
                            <a:headEnd/>
                            <a:tailEnd/>
                          </a:ln>
                        </wps:spPr>
                        <wps:txb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705" name="Text Box 2"/>
                        <wps:cNvSpPr txBox="1">
                          <a:spLocks noChangeArrowheads="1"/>
                        </wps:cNvSpPr>
                        <wps:spPr bwMode="auto">
                          <a:xfrm>
                            <a:off x="1226820" y="1280160"/>
                            <a:ext cx="3649980" cy="899160"/>
                          </a:xfrm>
                          <a:prstGeom prst="rect">
                            <a:avLst/>
                          </a:prstGeom>
                          <a:solidFill>
                            <a:srgbClr val="FFFFFF"/>
                          </a:solidFill>
                          <a:ln w="9525">
                            <a:solidFill>
                              <a:srgbClr val="000000"/>
                            </a:solidFill>
                            <a:miter lim="800000"/>
                            <a:headEnd/>
                            <a:tailEnd/>
                          </a:ln>
                        </wps:spPr>
                        <wps:txbx>
                          <w:txbxContent>
                            <w:p w:rsidR="00C8106D" w:rsidRDefault="00C8106D" w:rsidP="00C8106D">
                              <w:pPr>
                                <w:pStyle w:val="NormalWeb"/>
                                <w:spacing w:before="0" w:beforeAutospacing="0" w:after="160" w:afterAutospacing="0" w:line="256" w:lineRule="auto"/>
                              </w:pPr>
                              <w:r>
                                <w:rPr>
                                  <w:rFonts w:ascii="Calibri" w:eastAsia="Calibri" w:hAnsi="Calibri"/>
                                  <w:sz w:val="22"/>
                                  <w:szCs w:val="22"/>
                                </w:rPr>
                                <w:t>Is the activity of the avoided PE such that, as a result of section 1144 CTA10, the foreign company would not be treated as carrying on a trade in the UK through a permanent establishment by reason of that activity?</w:t>
                              </w:r>
                            </w:p>
                          </w:txbxContent>
                        </wps:txbx>
                        <wps:bodyPr rot="0" vert="horz" wrap="square" lIns="91440" tIns="45720" rIns="91440" bIns="45720" anchor="t" anchorCtr="0">
                          <a:noAutofit/>
                        </wps:bodyPr>
                      </wps:wsp>
                      <wps:wsp>
                        <wps:cNvPr id="706" name="Text Box 2"/>
                        <wps:cNvSpPr txBox="1">
                          <a:spLocks noChangeArrowheads="1"/>
                        </wps:cNvSpPr>
                        <wps:spPr bwMode="auto">
                          <a:xfrm>
                            <a:off x="-45663" y="5681901"/>
                            <a:ext cx="6111240" cy="3558540"/>
                          </a:xfrm>
                          <a:prstGeom prst="rect">
                            <a:avLst/>
                          </a:prstGeom>
                          <a:solidFill>
                            <a:srgbClr val="FFFFFF"/>
                          </a:solidFill>
                          <a:ln w="9525">
                            <a:solidFill>
                              <a:srgbClr val="000000"/>
                            </a:solidFill>
                            <a:miter lim="800000"/>
                            <a:headEnd/>
                            <a:tailEnd/>
                          </a:ln>
                        </wps:spPr>
                        <wps:txbx>
                          <w:txbxContent>
                            <w:p w:rsidR="00C8106D" w:rsidRDefault="00C8106D" w:rsidP="00C8106D">
                              <w:pPr>
                                <w:pStyle w:val="NormalWeb"/>
                                <w:spacing w:before="0" w:beforeAutospacing="0" w:after="0" w:afterAutospacing="0" w:line="256" w:lineRule="auto"/>
                              </w:pPr>
                              <w:r>
                                <w:rPr>
                                  <w:rFonts w:ascii="Verdana" w:hAnsi="Verdana"/>
                                  <w:b/>
                                  <w:bCs/>
                                  <w:color w:val="000000"/>
                                  <w:sz w:val="16"/>
                                  <w:szCs w:val="16"/>
                                </w:rPr>
                                <w:t>1142 Agent of independent status</w:t>
                              </w:r>
                            </w:p>
                            <w:p w:rsidR="00C8106D" w:rsidRDefault="00C8106D" w:rsidP="00C8106D">
                              <w:pPr>
                                <w:pStyle w:val="NormalWeb"/>
                                <w:spacing w:before="0" w:beforeAutospacing="0" w:after="75" w:afterAutospacing="0" w:line="256" w:lineRule="auto"/>
                              </w:pPr>
                              <w:r>
                                <w:rPr>
                                  <w:rFonts w:ascii="Verdana" w:hAnsi="Verdana"/>
                                  <w:color w:val="000000"/>
                                  <w:sz w:val="16"/>
                                  <w:szCs w:val="16"/>
                                </w:rPr>
                                <w:t>(1) A company is not regarded as having a permanent establishment in a territory by reason of the fact that it carries on business there through an agent of independent status acting in the ordinary course of the agent's business.</w:t>
                              </w:r>
                            </w:p>
                            <w:p w:rsidR="00C8106D" w:rsidRDefault="00C8106D" w:rsidP="00C8106D">
                              <w:pPr>
                                <w:pStyle w:val="NormalWeb"/>
                                <w:spacing w:before="0" w:beforeAutospacing="0" w:after="75" w:afterAutospacing="0" w:line="256" w:lineRule="auto"/>
                              </w:pPr>
                              <w:r>
                                <w:rPr>
                                  <w:rFonts w:ascii="Verdana" w:hAnsi="Verdana"/>
                                  <w:color w:val="000000"/>
                                  <w:sz w:val="16"/>
                                  <w:szCs w:val="16"/>
                                </w:rPr>
                                <w:t>(2) Sections 1145 to 1151 apply for the purpose of supplementing subsection (1) in relation to transactions carried out on behalf of a non-UK resident company by a person in the United Kingdom acting as—</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a</w:t>
                              </w:r>
                              <w:r>
                                <w:rPr>
                                  <w:rFonts w:ascii="Verdana" w:hAnsi="Verdana"/>
                                  <w:color w:val="000000"/>
                                  <w:sz w:val="16"/>
                                  <w:szCs w:val="16"/>
                                </w:rPr>
                                <w:t>) a broker (section 1145),</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b</w:t>
                              </w:r>
                              <w:r>
                                <w:rPr>
                                  <w:rFonts w:ascii="Verdana" w:hAnsi="Verdana"/>
                                  <w:color w:val="000000"/>
                                  <w:sz w:val="16"/>
                                  <w:szCs w:val="16"/>
                                </w:rPr>
                                <w:t>) an investment manager (sections 1146 to 1150), or</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c</w:t>
                              </w:r>
                              <w:r>
                                <w:rPr>
                                  <w:rFonts w:ascii="Verdana" w:hAnsi="Verdana"/>
                                  <w:color w:val="000000"/>
                                  <w:sz w:val="16"/>
                                  <w:szCs w:val="16"/>
                                </w:rPr>
                                <w:t>) a members' or managing agent at Lloyd's (section 1151).</w:t>
                              </w:r>
                              <w:r>
                                <w:rPr>
                                  <w:rFonts w:ascii="Calibri" w:eastAsia="Calibri" w:hAnsi="Calibri"/>
                                  <w:sz w:val="22"/>
                                  <w:szCs w:val="22"/>
                                </w:rPr>
                                <w:t> </w:t>
                              </w:r>
                            </w:p>
                            <w:p w:rsidR="00C8106D" w:rsidRDefault="00C8106D" w:rsidP="00C8106D">
                              <w:pPr>
                                <w:pStyle w:val="NormalWeb"/>
                                <w:spacing w:before="0" w:beforeAutospacing="0" w:after="0" w:afterAutospacing="0" w:line="256" w:lineRule="auto"/>
                              </w:pPr>
                              <w:r>
                                <w:rPr>
                                  <w:rFonts w:ascii="Verdana" w:hAnsi="Verdana"/>
                                  <w:b/>
                                  <w:bCs/>
                                  <w:color w:val="000000"/>
                                  <w:sz w:val="16"/>
                                  <w:szCs w:val="16"/>
                                </w:rPr>
                                <w:t>1144 Alternative finance arrangements</w:t>
                              </w:r>
                            </w:p>
                            <w:p w:rsidR="00C8106D" w:rsidRDefault="00C8106D" w:rsidP="00C8106D">
                              <w:pPr>
                                <w:pStyle w:val="NormalWeb"/>
                                <w:spacing w:before="0" w:beforeAutospacing="0" w:after="75" w:afterAutospacing="0" w:line="256" w:lineRule="auto"/>
                              </w:pPr>
                              <w:r>
                                <w:rPr>
                                  <w:rFonts w:ascii="Verdana" w:hAnsi="Verdana"/>
                                  <w:color w:val="000000"/>
                                  <w:sz w:val="16"/>
                                  <w:szCs w:val="16"/>
                                </w:rPr>
                                <w:t>(1) Subsection (2) applies if alternative finance return is paid to a non-UK resident company.</w:t>
                              </w:r>
                            </w:p>
                            <w:p w:rsidR="00C8106D" w:rsidRDefault="00C8106D" w:rsidP="00C8106D">
                              <w:pPr>
                                <w:pStyle w:val="NormalWeb"/>
                                <w:spacing w:before="0" w:beforeAutospacing="0" w:after="75" w:afterAutospacing="0" w:line="256" w:lineRule="auto"/>
                              </w:pPr>
                              <w:r>
                                <w:rPr>
                                  <w:rFonts w:ascii="Verdana" w:hAnsi="Verdana"/>
                                  <w:color w:val="000000"/>
                                  <w:sz w:val="18"/>
                                  <w:szCs w:val="18"/>
                                </w:rPr>
                                <w:t>(</w:t>
                              </w:r>
                              <w:r>
                                <w:rPr>
                                  <w:rFonts w:ascii="Verdana" w:hAnsi="Verdana"/>
                                  <w:color w:val="000000"/>
                                  <w:sz w:val="16"/>
                                  <w:szCs w:val="16"/>
                                </w:rPr>
                                <w:t>2) The company is not regarded as having a permanent establishment in the United Kingdom merely by virtue of anything done for the purposes of the alternative finance arrangements—</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a</w:t>
                              </w:r>
                              <w:r>
                                <w:rPr>
                                  <w:rFonts w:ascii="Verdana" w:hAnsi="Verdana"/>
                                  <w:color w:val="000000"/>
                                  <w:sz w:val="16"/>
                                  <w:szCs w:val="16"/>
                                </w:rPr>
                                <w:t>) by the other party to the arrangements, or</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b</w:t>
                              </w:r>
                              <w:r>
                                <w:rPr>
                                  <w:rFonts w:ascii="Verdana" w:hAnsi="Verdana"/>
                                  <w:color w:val="000000"/>
                                  <w:sz w:val="16"/>
                                  <w:szCs w:val="16"/>
                                </w:rPr>
                                <w:t>) by any other person acting for the company in relation to the arrangements.</w:t>
                              </w:r>
                            </w:p>
                            <w:p w:rsidR="00C8106D" w:rsidRDefault="00C8106D" w:rsidP="00C8106D">
                              <w:pPr>
                                <w:pStyle w:val="NormalWeb"/>
                                <w:spacing w:before="0" w:beforeAutospacing="0" w:after="75" w:afterAutospacing="0" w:line="256" w:lineRule="auto"/>
                              </w:pPr>
                              <w:r>
                                <w:rPr>
                                  <w:rFonts w:ascii="Verdana" w:hAnsi="Verdana"/>
                                  <w:color w:val="000000"/>
                                  <w:sz w:val="16"/>
                                  <w:szCs w:val="16"/>
                                </w:rPr>
                                <w:t>(3) In subsection (1) “alternative finance return” means alternative finance return within the application of—</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a</w:t>
                              </w:r>
                              <w:r>
                                <w:rPr>
                                  <w:rFonts w:ascii="Verdana" w:hAnsi="Verdana"/>
                                  <w:color w:val="000000"/>
                                  <w:sz w:val="16"/>
                                  <w:szCs w:val="16"/>
                                </w:rPr>
                                <w:t xml:space="preserve">) section 564I, 564K or 564L(2) or (3) of </w:t>
                              </w:r>
                              <w:hyperlink r:id="rId6" w:history="1">
                                <w:r>
                                  <w:rPr>
                                    <w:rStyle w:val="Hyperlink"/>
                                    <w:rFonts w:ascii="Verdana" w:hAnsi="Verdana"/>
                                    <w:sz w:val="16"/>
                                    <w:szCs w:val="16"/>
                                  </w:rPr>
                                  <w:t xml:space="preserve">ITA 2007, </w:t>
                                </w:r>
                              </w:hyperlink>
                              <w:r>
                                <w:rPr>
                                  <w:rFonts w:ascii="Verdana" w:hAnsi="Verdana"/>
                                  <w:color w:val="000000"/>
                                  <w:sz w:val="16"/>
                                  <w:szCs w:val="16"/>
                                </w:rPr>
                                <w:t>or</w:t>
                              </w:r>
                            </w:p>
                            <w:p w:rsidR="00C8106D" w:rsidRDefault="00C8106D" w:rsidP="00C8106D">
                              <w:pPr>
                                <w:pStyle w:val="NormalWeb"/>
                                <w:spacing w:before="0" w:beforeAutospacing="0" w:after="75" w:afterAutospacing="0" w:line="256" w:lineRule="auto"/>
                                <w:ind w:firstLine="720"/>
                              </w:pPr>
                              <w:r>
                                <w:rPr>
                                  <w:rFonts w:ascii="Verdana" w:hAnsi="Verdana"/>
                                  <w:color w:val="000000"/>
                                  <w:sz w:val="18"/>
                                  <w:szCs w:val="18"/>
                                </w:rPr>
                                <w:t>(</w:t>
                              </w:r>
                              <w:r>
                                <w:rPr>
                                  <w:rFonts w:ascii="Verdana" w:hAnsi="Verdana"/>
                                  <w:i/>
                                  <w:iCs/>
                                  <w:color w:val="000000"/>
                                  <w:sz w:val="18"/>
                                  <w:szCs w:val="18"/>
                                </w:rPr>
                                <w:t>b</w:t>
                              </w:r>
                              <w:r>
                                <w:rPr>
                                  <w:rFonts w:ascii="Verdana" w:hAnsi="Verdana"/>
                                  <w:color w:val="000000"/>
                                  <w:sz w:val="18"/>
                                  <w:szCs w:val="18"/>
                                </w:rPr>
                                <w:t xml:space="preserve">) section 511, 512 or 513(2) or (3) of </w:t>
                              </w:r>
                              <w:hyperlink r:id="rId7" w:history="1">
                                <w:r>
                                  <w:rPr>
                                    <w:rStyle w:val="Hyperlink"/>
                                    <w:rFonts w:ascii="Verdana" w:hAnsi="Verdana"/>
                                    <w:sz w:val="18"/>
                                    <w:szCs w:val="18"/>
                                  </w:rPr>
                                  <w:t>CTA 2009</w:t>
                                </w:r>
                              </w:hyperlink>
                              <w:r>
                                <w:rPr>
                                  <w:rFonts w:ascii="Verdana" w:hAnsi="Verdana"/>
                                  <w:color w:val="000000"/>
                                  <w:sz w:val="18"/>
                                  <w:szCs w:val="18"/>
                                </w:rPr>
                                <w:t>.</w:t>
                              </w:r>
                            </w:p>
                            <w:p w:rsidR="00C8106D" w:rsidRDefault="00C8106D" w:rsidP="00C8106D">
                              <w:pPr>
                                <w:pStyle w:val="NormalWeb"/>
                                <w:spacing w:before="0" w:beforeAutospacing="0" w:after="75" w:afterAutospacing="0" w:line="256" w:lineRule="auto"/>
                              </w:pPr>
                              <w:r>
                                <w:rPr>
                                  <w:rFonts w:ascii="Verdana" w:hAnsi="Verdana"/>
                                  <w:color w:val="000000"/>
                                  <w:sz w:val="16"/>
                                  <w:szCs w:val="16"/>
                                </w:rPr>
                                <w:t>(4) In subsection (2) the reference to “the alternative finance arrangements” is a reference to the alternative finance arrangements under which the alternative finance return mentioned in subsection (1) is paid.</w:t>
                              </w:r>
                              <w:r>
                                <w:rPr>
                                  <w:rFonts w:ascii="Calibri" w:eastAsia="Calibri" w:hAnsi="Calibri"/>
                                  <w:sz w:val="22"/>
                                  <w:szCs w:val="22"/>
                                </w:rPr>
                                <w:t> </w:t>
                              </w:r>
                            </w:p>
                          </w:txbxContent>
                        </wps:txbx>
                        <wps:bodyPr rot="0" vert="horz" wrap="square" lIns="91440" tIns="45720" rIns="91440" bIns="45720" anchor="t" anchorCtr="0">
                          <a:noAutofit/>
                        </wps:bodyPr>
                      </wps:wsp>
                      <wps:wsp>
                        <wps:cNvPr id="707" name="Text Box 2"/>
                        <wps:cNvSpPr txBox="1">
                          <a:spLocks noChangeArrowheads="1"/>
                        </wps:cNvSpPr>
                        <wps:spPr bwMode="auto">
                          <a:xfrm>
                            <a:off x="5181600" y="2659380"/>
                            <a:ext cx="902970" cy="701040"/>
                          </a:xfrm>
                          <a:prstGeom prst="rect">
                            <a:avLst/>
                          </a:prstGeom>
                          <a:solidFill>
                            <a:srgbClr val="FFFFFF"/>
                          </a:solidFill>
                          <a:ln w="9525">
                            <a:solidFill>
                              <a:srgbClr val="000000"/>
                            </a:solidFill>
                            <a:miter lim="800000"/>
                            <a:headEnd/>
                            <a:tailEnd/>
                          </a:ln>
                        </wps:spPr>
                        <wps:txbx>
                          <w:txbxContent>
                            <w:p w:rsidR="00C8106D" w:rsidRDefault="00C8106D" w:rsidP="00C8106D">
                              <w:pPr>
                                <w:pStyle w:val="NormalWeb"/>
                                <w:spacing w:before="0" w:beforeAutospacing="0" w:after="0" w:afterAutospacing="0" w:line="256" w:lineRule="auto"/>
                              </w:pPr>
                              <w:r>
                                <w:rPr>
                                  <w:rFonts w:ascii="Calibri" w:eastAsia="Calibri" w:hAnsi="Calibri"/>
                                  <w:sz w:val="22"/>
                                  <w:szCs w:val="22"/>
                                </w:rPr>
                                <w:t xml:space="preserve">The avoided PE </w:t>
                              </w:r>
                              <w:r>
                                <w:rPr>
                                  <w:rFonts w:ascii="Calibri" w:eastAsia="Calibri" w:hAnsi="Calibri"/>
                                  <w:b/>
                                  <w:bCs/>
                                  <w:sz w:val="22"/>
                                  <w:szCs w:val="22"/>
                                  <w:u w:val="single"/>
                                </w:rPr>
                                <w:t>IS</w:t>
                              </w:r>
                              <w:r>
                                <w:rPr>
                                  <w:rFonts w:ascii="Calibri" w:eastAsia="Calibri" w:hAnsi="Calibri"/>
                                  <w:sz w:val="22"/>
                                  <w:szCs w:val="22"/>
                                </w:rPr>
                                <w:t xml:space="preserve"> ‘excepted’.</w:t>
                              </w:r>
                            </w:p>
                          </w:txbxContent>
                        </wps:txbx>
                        <wps:bodyPr rot="0" vert="horz" wrap="square" lIns="91440" tIns="45720" rIns="91440" bIns="45720" anchor="t" anchorCtr="0">
                          <a:noAutofit/>
                        </wps:bodyPr>
                      </wps:wsp>
                      <wps:wsp>
                        <wps:cNvPr id="708" name="Text Box 2"/>
                        <wps:cNvSpPr txBox="1">
                          <a:spLocks noChangeArrowheads="1"/>
                        </wps:cNvSpPr>
                        <wps:spPr bwMode="auto">
                          <a:xfrm>
                            <a:off x="1211580" y="3840480"/>
                            <a:ext cx="3657600" cy="731520"/>
                          </a:xfrm>
                          <a:prstGeom prst="rect">
                            <a:avLst/>
                          </a:prstGeom>
                          <a:solidFill>
                            <a:srgbClr val="FFFFFF"/>
                          </a:solidFill>
                          <a:ln w="9525">
                            <a:solidFill>
                              <a:srgbClr val="000000"/>
                            </a:solidFill>
                            <a:miter lim="800000"/>
                            <a:headEnd/>
                            <a:tailEnd/>
                          </a:ln>
                        </wps:spPr>
                        <wps:txbx>
                          <w:txbxContent>
                            <w:p w:rsidR="00C8106D" w:rsidRDefault="00C8106D" w:rsidP="00C8106D">
                              <w:pPr>
                                <w:pStyle w:val="NormalWeb"/>
                                <w:spacing w:before="0" w:beforeAutospacing="0" w:after="0" w:afterAutospacing="0" w:line="256" w:lineRule="auto"/>
                              </w:pPr>
                              <w:r>
                                <w:rPr>
                                  <w:rFonts w:ascii="Calibri" w:eastAsia="Calibri" w:hAnsi="Calibri"/>
                                  <w:sz w:val="22"/>
                                  <w:szCs w:val="22"/>
                                </w:rPr>
                                <w:t>Is the avoided PE regarded for the purposes of section 1142(1) as an agent of independent status by virtue of sections 1145, 1146 or 1151 of CTA10?</w:t>
                              </w:r>
                            </w:p>
                          </w:txbxContent>
                        </wps:txbx>
                        <wps:bodyPr rot="0" vert="horz" wrap="square" lIns="91440" tIns="45720" rIns="91440" bIns="45720" anchor="t" anchorCtr="0">
                          <a:noAutofit/>
                        </wps:bodyPr>
                      </wps:wsp>
                      <wps:wsp>
                        <wps:cNvPr id="709" name="Text Box 2"/>
                        <wps:cNvSpPr txBox="1">
                          <a:spLocks noChangeArrowheads="1"/>
                        </wps:cNvSpPr>
                        <wps:spPr bwMode="auto">
                          <a:xfrm>
                            <a:off x="7620" y="3741420"/>
                            <a:ext cx="1036320" cy="906780"/>
                          </a:xfrm>
                          <a:prstGeom prst="rect">
                            <a:avLst/>
                          </a:prstGeom>
                          <a:solidFill>
                            <a:srgbClr val="FFFFFF"/>
                          </a:solidFill>
                          <a:ln w="9525">
                            <a:solidFill>
                              <a:srgbClr val="000000"/>
                            </a:solidFill>
                            <a:miter lim="800000"/>
                            <a:headEnd/>
                            <a:tailEnd/>
                          </a:ln>
                        </wps:spPr>
                        <wps:txbx>
                          <w:txbxContent>
                            <w:p w:rsidR="00C8106D" w:rsidRDefault="00C8106D" w:rsidP="00C8106D">
                              <w:pPr>
                                <w:pStyle w:val="NormalWeb"/>
                                <w:spacing w:before="0" w:beforeAutospacing="0" w:after="0" w:afterAutospacing="0" w:line="256" w:lineRule="auto"/>
                              </w:pPr>
                              <w:r>
                                <w:rPr>
                                  <w:rFonts w:ascii="Calibri" w:eastAsia="Calibri" w:hAnsi="Calibri"/>
                                  <w:sz w:val="22"/>
                                  <w:szCs w:val="22"/>
                                </w:rPr>
                                <w:t xml:space="preserve">The avoided PE is </w:t>
                              </w:r>
                              <w:r>
                                <w:rPr>
                                  <w:rFonts w:ascii="Calibri" w:eastAsia="Calibri" w:hAnsi="Calibri"/>
                                  <w:b/>
                                  <w:bCs/>
                                  <w:sz w:val="22"/>
                                  <w:szCs w:val="22"/>
                                  <w:u w:val="single"/>
                                </w:rPr>
                                <w:t>NOT</w:t>
                              </w:r>
                              <w:r>
                                <w:rPr>
                                  <w:rFonts w:ascii="Calibri" w:eastAsia="Calibri" w:hAnsi="Calibri"/>
                                  <w:sz w:val="22"/>
                                  <w:szCs w:val="22"/>
                                </w:rPr>
                                <w:t xml:space="preserve"> ‘excepted’ by section 86.</w:t>
                              </w:r>
                            </w:p>
                          </w:txbxContent>
                        </wps:txbx>
                        <wps:bodyPr rot="0" vert="horz" wrap="square" lIns="91440" tIns="45720" rIns="91440" bIns="45720" anchor="t" anchorCtr="0">
                          <a:noAutofit/>
                        </wps:bodyPr>
                      </wps:wsp>
                      <wps:wsp>
                        <wps:cNvPr id="710" name="Text Box 2"/>
                        <wps:cNvSpPr txBox="1">
                          <a:spLocks noChangeArrowheads="1"/>
                        </wps:cNvSpPr>
                        <wps:spPr bwMode="auto">
                          <a:xfrm>
                            <a:off x="1" y="0"/>
                            <a:ext cx="6088380" cy="914400"/>
                          </a:xfrm>
                          <a:prstGeom prst="rect">
                            <a:avLst/>
                          </a:prstGeom>
                          <a:solidFill>
                            <a:srgbClr val="FFFFFF"/>
                          </a:solidFill>
                          <a:ln w="9525">
                            <a:solidFill>
                              <a:srgbClr val="000000"/>
                            </a:solidFill>
                            <a:miter lim="800000"/>
                            <a:headEnd/>
                            <a:tailEnd/>
                          </a:ln>
                        </wps:spPr>
                        <wps:txbx>
                          <w:txbxContent>
                            <w:p w:rsidR="00C8106D" w:rsidRDefault="00C8106D" w:rsidP="00C8106D">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Avoided PE</w:t>
                              </w:r>
                              <w:r>
                                <w:rPr>
                                  <w:rFonts w:ascii="Calibri" w:eastAsia="Calibri" w:hAnsi="Calibri"/>
                                  <w:sz w:val="22"/>
                                  <w:szCs w:val="22"/>
                                </w:rPr>
                                <w:t>’ as per section 86(1)(c):</w:t>
                              </w:r>
                            </w:p>
                            <w:p w:rsidR="00C8106D" w:rsidRDefault="00C8106D" w:rsidP="00C8106D">
                              <w:pPr>
                                <w:pStyle w:val="NormalWeb"/>
                                <w:spacing w:before="0" w:beforeAutospacing="0" w:after="0" w:afterAutospacing="0"/>
                              </w:pPr>
                              <w:r>
                                <w:rPr>
                                  <w:rFonts w:ascii="Calibri" w:eastAsia="Calibri" w:hAnsi="Calibri" w:cs="Times New Roman PSMT"/>
                                  <w:i/>
                                  <w:iCs/>
                                  <w:color w:val="000000"/>
                                  <w:sz w:val="22"/>
                                  <w:szCs w:val="22"/>
                                </w:rPr>
                                <w:t>“a person (“the avoided PE”), whether or not UK resident, is carrying on activity in the United Kingdom in that period in connection with supplies of services, goods or other property made by the foreign company in the course of that trade”</w:t>
                              </w:r>
                            </w:p>
                          </w:txbxContent>
                        </wps:txbx>
                        <wps:bodyPr rot="0" vert="horz" wrap="square" lIns="91440" tIns="45720" rIns="91440" bIns="45720" anchor="t" anchorCtr="0">
                          <a:noAutofit/>
                        </wps:bodyPr>
                      </wps:wsp>
                      <wps:wsp>
                        <wps:cNvPr id="711" name="Text Box 2"/>
                        <wps:cNvSpPr txBox="1">
                          <a:spLocks noChangeArrowheads="1"/>
                        </wps:cNvSpPr>
                        <wps:spPr bwMode="auto">
                          <a:xfrm>
                            <a:off x="1219200" y="4937760"/>
                            <a:ext cx="3649980" cy="548640"/>
                          </a:xfrm>
                          <a:prstGeom prst="rect">
                            <a:avLst/>
                          </a:prstGeom>
                          <a:solidFill>
                            <a:srgbClr val="FFFFFF"/>
                          </a:solidFill>
                          <a:ln w="9525">
                            <a:solidFill>
                              <a:srgbClr val="000000"/>
                            </a:solidFill>
                            <a:miter lim="800000"/>
                            <a:headEnd/>
                            <a:tailEnd/>
                          </a:ln>
                        </wps:spPr>
                        <wps:txbx>
                          <w:txbxContent>
                            <w:p w:rsidR="00C8106D" w:rsidRDefault="00C8106D" w:rsidP="00C8106D">
                              <w:pPr>
                                <w:pStyle w:val="NormalWeb"/>
                                <w:spacing w:before="0" w:beforeAutospacing="0" w:after="0" w:afterAutospacing="0" w:line="256" w:lineRule="auto"/>
                              </w:pPr>
                              <w:r>
                                <w:rPr>
                                  <w:rFonts w:ascii="Calibri" w:eastAsia="Calibri" w:hAnsi="Calibri"/>
                                  <w:sz w:val="22"/>
                                  <w:szCs w:val="22"/>
                                </w:rPr>
                                <w:t>Are the foreign company and the avoided PE connected at any time in the relevant accounting period?</w:t>
                              </w:r>
                            </w:p>
                          </w:txbxContent>
                        </wps:txbx>
                        <wps:bodyPr rot="0" vert="horz" wrap="square" lIns="91440" tIns="45720" rIns="91440" bIns="45720" anchor="t" anchorCtr="0">
                          <a:noAutofit/>
                        </wps:bodyPr>
                      </wps:wsp>
                      <wps:wsp>
                        <wps:cNvPr id="712" name="Text Box 2"/>
                        <wps:cNvSpPr txBox="1">
                          <a:spLocks noChangeArrowheads="1"/>
                        </wps:cNvSpPr>
                        <wps:spPr bwMode="auto">
                          <a:xfrm>
                            <a:off x="1234440" y="2552700"/>
                            <a:ext cx="3649980" cy="914400"/>
                          </a:xfrm>
                          <a:prstGeom prst="rect">
                            <a:avLst/>
                          </a:prstGeom>
                          <a:solidFill>
                            <a:srgbClr val="FFFFFF"/>
                          </a:solidFill>
                          <a:ln w="9525">
                            <a:solidFill>
                              <a:srgbClr val="000000"/>
                            </a:solidFill>
                            <a:miter lim="800000"/>
                            <a:headEnd/>
                            <a:tailEnd/>
                          </a:ln>
                        </wps:spPr>
                        <wps:txbx>
                          <w:txbxContent>
                            <w:p w:rsidR="00C8106D" w:rsidRDefault="00C8106D" w:rsidP="00C8106D">
                              <w:pPr>
                                <w:pStyle w:val="NormalWeb"/>
                                <w:spacing w:before="0" w:beforeAutospacing="0" w:after="160" w:afterAutospacing="0" w:line="256" w:lineRule="auto"/>
                              </w:pPr>
                              <w:r>
                                <w:rPr>
                                  <w:rFonts w:ascii="Calibri" w:eastAsia="Calibri" w:hAnsi="Calibri"/>
                                  <w:sz w:val="22"/>
                                  <w:szCs w:val="22"/>
                                </w:rPr>
                                <w:t>Is the activity of the avoided PE such that, as a result of section 1142 CTA10, the foreign company would not be treated as carrying on a trade in the UK through a permanent establishment by reason of that activity?</w:t>
                              </w:r>
                            </w:p>
                          </w:txbxContent>
                        </wps:txbx>
                        <wps:bodyPr rot="0" vert="horz" wrap="square" lIns="91440" tIns="45720" rIns="91440" bIns="45720" anchor="t" anchorCtr="0">
                          <a:noAutofit/>
                        </wps:bodyPr>
                      </wps:wsp>
                      <wps:wsp>
                        <wps:cNvPr id="713" name="Bent-Up Arrow 713"/>
                        <wps:cNvSpPr/>
                        <wps:spPr>
                          <a:xfrm flipV="1">
                            <a:off x="4899660" y="1706880"/>
                            <a:ext cx="868680" cy="937260"/>
                          </a:xfrm>
                          <a:prstGeom prst="bentUpArrow">
                            <a:avLst>
                              <a:gd name="adj1" fmla="val 5645"/>
                              <a:gd name="adj2" fmla="val 11261"/>
                              <a:gd name="adj3" fmla="val 10334"/>
                            </a:avLst>
                          </a:prstGeom>
                          <a:solidFill>
                            <a:srgbClr val="5B9BD5"/>
                          </a:solidFill>
                          <a:ln w="31750" cap="flat" cmpd="sng" algn="ctr">
                            <a:solidFill>
                              <a:srgbClr val="5B9BD5">
                                <a:shade val="50000"/>
                              </a:srgbClr>
                            </a:solidFill>
                            <a:prstDash val="solid"/>
                            <a:miter lim="800000"/>
                          </a:ln>
                          <a:effectLst/>
                        </wps:spPr>
                        <wps:bodyPr rtlCol="0" anchor="t"/>
                      </wps:wsp>
                      <wps:wsp>
                        <wps:cNvPr id="714" name="Text Box 2"/>
                        <wps:cNvSpPr txBox="1">
                          <a:spLocks noChangeArrowheads="1"/>
                        </wps:cNvSpPr>
                        <wps:spPr bwMode="auto">
                          <a:xfrm>
                            <a:off x="4952505" y="1331119"/>
                            <a:ext cx="419100" cy="313009"/>
                          </a:xfrm>
                          <a:prstGeom prst="rect">
                            <a:avLst/>
                          </a:prstGeom>
                          <a:solidFill>
                            <a:srgbClr val="FFFFFF"/>
                          </a:solidFill>
                          <a:ln w="9525">
                            <a:noFill/>
                            <a:miter lim="800000"/>
                            <a:headEnd/>
                            <a:tailEnd/>
                          </a:ln>
                        </wps:spPr>
                        <wps:txb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g:grpSp>
                        <wpg:cNvPr id="715" name="Group 715"/>
                        <wpg:cNvGrpSpPr/>
                        <wpg:grpSpPr>
                          <a:xfrm>
                            <a:off x="4884420" y="3931920"/>
                            <a:ext cx="739140" cy="304799"/>
                            <a:chOff x="4884420" y="3931920"/>
                            <a:chExt cx="1821180" cy="236219"/>
                          </a:xfrm>
                        </wpg:grpSpPr>
                        <wps:wsp>
                          <wps:cNvPr id="716" name="Text Box 2"/>
                          <wps:cNvSpPr txBox="1">
                            <a:spLocks noChangeArrowheads="1"/>
                          </wps:cNvSpPr>
                          <wps:spPr bwMode="auto">
                            <a:xfrm>
                              <a:off x="5026330" y="3931920"/>
                              <a:ext cx="1371798" cy="228600"/>
                            </a:xfrm>
                            <a:prstGeom prst="rect">
                              <a:avLst/>
                            </a:prstGeom>
                            <a:solidFill>
                              <a:srgbClr val="FFFFFF"/>
                            </a:solidFill>
                            <a:ln w="9525">
                              <a:noFill/>
                              <a:miter lim="800000"/>
                              <a:headEnd/>
                              <a:tailEnd/>
                            </a:ln>
                          </wps:spPr>
                          <wps:txb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717" name="Right Arrow 717"/>
                          <wps:cNvSpPr/>
                          <wps:spPr>
                            <a:xfrm>
                              <a:off x="4884420" y="412242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s:wsp>
                        <wps:cNvPr id="718" name="Bent-Up Arrow 718"/>
                        <wps:cNvSpPr/>
                        <wps:spPr>
                          <a:xfrm>
                            <a:off x="4884420" y="3383280"/>
                            <a:ext cx="883920" cy="1874520"/>
                          </a:xfrm>
                          <a:prstGeom prst="bentUpArrow">
                            <a:avLst>
                              <a:gd name="adj1" fmla="val 5645"/>
                              <a:gd name="adj2" fmla="val 11261"/>
                              <a:gd name="adj3" fmla="val 10334"/>
                            </a:avLst>
                          </a:prstGeom>
                          <a:solidFill>
                            <a:srgbClr val="5B9BD5"/>
                          </a:solidFill>
                          <a:ln w="31750" cap="flat" cmpd="sng" algn="ctr">
                            <a:solidFill>
                              <a:srgbClr val="5B9BD5">
                                <a:shade val="50000"/>
                              </a:srgbClr>
                            </a:solidFill>
                            <a:prstDash val="solid"/>
                            <a:miter lim="800000"/>
                          </a:ln>
                          <a:effectLst/>
                        </wps:spPr>
                        <wps:bodyPr rtlCol="0" anchor="t"/>
                      </wps:wsp>
                      <wps:wsp>
                        <wps:cNvPr id="719" name="Bent-Up Arrow 719"/>
                        <wps:cNvSpPr/>
                        <wps:spPr>
                          <a:xfrm flipH="1">
                            <a:off x="335280" y="4663440"/>
                            <a:ext cx="876300" cy="556260"/>
                          </a:xfrm>
                          <a:prstGeom prst="bentUpArrow">
                            <a:avLst>
                              <a:gd name="adj1" fmla="val 5645"/>
                              <a:gd name="adj2" fmla="val 11261"/>
                              <a:gd name="adj3" fmla="val 10334"/>
                            </a:avLst>
                          </a:prstGeom>
                          <a:solidFill>
                            <a:srgbClr val="5B9BD5"/>
                          </a:solidFill>
                          <a:ln w="31750" cap="flat" cmpd="sng" algn="ctr">
                            <a:solidFill>
                              <a:srgbClr val="5B9BD5">
                                <a:shade val="50000"/>
                              </a:srgbClr>
                            </a:solidFill>
                            <a:prstDash val="solid"/>
                            <a:miter lim="800000"/>
                          </a:ln>
                          <a:effectLst/>
                        </wps:spPr>
                        <wps:bodyPr rtlCol="0" anchor="t"/>
                      </wps:wsp>
                      <wps:wsp>
                        <wps:cNvPr id="720" name="Bent-Up Arrow 720"/>
                        <wps:cNvSpPr/>
                        <wps:spPr>
                          <a:xfrm flipH="1" flipV="1">
                            <a:off x="335280" y="2987040"/>
                            <a:ext cx="883920" cy="723900"/>
                          </a:xfrm>
                          <a:prstGeom prst="bentUpArrow">
                            <a:avLst>
                              <a:gd name="adj1" fmla="val 5645"/>
                              <a:gd name="adj2" fmla="val 11261"/>
                              <a:gd name="adj3" fmla="val 10334"/>
                            </a:avLst>
                          </a:prstGeom>
                          <a:solidFill>
                            <a:srgbClr val="5B9BD5"/>
                          </a:solidFill>
                          <a:ln w="31750" cap="flat" cmpd="sng" algn="ctr">
                            <a:solidFill>
                              <a:srgbClr val="5B9BD5">
                                <a:shade val="50000"/>
                              </a:srgbClr>
                            </a:solidFill>
                            <a:prstDash val="solid"/>
                            <a:miter lim="800000"/>
                          </a:ln>
                          <a:effectLst/>
                        </wps:spPr>
                        <wps:bodyPr rtlCol="0" anchor="t"/>
                      </wps:wsp>
                      <wps:wsp>
                        <wps:cNvPr id="721" name="Text Box 2"/>
                        <wps:cNvSpPr txBox="1">
                          <a:spLocks noChangeArrowheads="1"/>
                        </wps:cNvSpPr>
                        <wps:spPr bwMode="auto">
                          <a:xfrm>
                            <a:off x="701040" y="2690436"/>
                            <a:ext cx="400050" cy="243264"/>
                          </a:xfrm>
                          <a:prstGeom prst="rect">
                            <a:avLst/>
                          </a:prstGeom>
                          <a:solidFill>
                            <a:srgbClr val="FFFFFF"/>
                          </a:solidFill>
                          <a:ln w="9525">
                            <a:noFill/>
                            <a:miter lim="800000"/>
                            <a:headEnd/>
                            <a:tailEnd/>
                          </a:ln>
                        </wps:spPr>
                        <wps:txb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g:grpSp>
                        <wpg:cNvPr id="722" name="Group 722"/>
                        <wpg:cNvGrpSpPr/>
                        <wpg:grpSpPr>
                          <a:xfrm>
                            <a:off x="2647951" y="3482351"/>
                            <a:ext cx="453389" cy="336589"/>
                            <a:chOff x="2647951" y="3482340"/>
                            <a:chExt cx="453389" cy="910313"/>
                          </a:xfrm>
                        </wpg:grpSpPr>
                        <wps:wsp>
                          <wps:cNvPr id="723" name="Text Box 2"/>
                          <wps:cNvSpPr txBox="1">
                            <a:spLocks noChangeArrowheads="1"/>
                          </wps:cNvSpPr>
                          <wps:spPr bwMode="auto">
                            <a:xfrm>
                              <a:off x="2647951" y="3558962"/>
                              <a:ext cx="400050" cy="833691"/>
                            </a:xfrm>
                            <a:prstGeom prst="rect">
                              <a:avLst/>
                            </a:prstGeom>
                            <a:solidFill>
                              <a:srgbClr val="FFFFFF"/>
                            </a:solidFill>
                            <a:ln w="9525">
                              <a:noFill/>
                              <a:miter lim="800000"/>
                              <a:headEnd/>
                              <a:tailEnd/>
                            </a:ln>
                          </wps:spPr>
                          <wps:txb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724" name="Down Arrow 724"/>
                          <wps:cNvSpPr/>
                          <wps:spPr>
                            <a:xfrm>
                              <a:off x="3040380" y="348234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725" name="Group 725"/>
                        <wpg:cNvGrpSpPr/>
                        <wpg:grpSpPr>
                          <a:xfrm>
                            <a:off x="2637031" y="4587230"/>
                            <a:ext cx="471929" cy="342898"/>
                            <a:chOff x="2637031" y="4587240"/>
                            <a:chExt cx="471929" cy="906780"/>
                          </a:xfrm>
                        </wpg:grpSpPr>
                        <wps:wsp>
                          <wps:cNvPr id="726" name="Text Box 2"/>
                          <wps:cNvSpPr txBox="1">
                            <a:spLocks noChangeArrowheads="1"/>
                          </wps:cNvSpPr>
                          <wps:spPr bwMode="auto">
                            <a:xfrm>
                              <a:off x="2637031" y="4720696"/>
                              <a:ext cx="410969" cy="731479"/>
                            </a:xfrm>
                            <a:prstGeom prst="rect">
                              <a:avLst/>
                            </a:prstGeom>
                            <a:solidFill>
                              <a:srgbClr val="FFFFFF"/>
                            </a:solidFill>
                            <a:ln w="9525">
                              <a:noFill/>
                              <a:miter lim="800000"/>
                              <a:headEnd/>
                              <a:tailEnd/>
                            </a:ln>
                          </wps:spPr>
                          <wps:txb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727" name="Down Arrow 727"/>
                          <wps:cNvSpPr/>
                          <wps:spPr>
                            <a:xfrm>
                              <a:off x="3048000" y="458724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728" name="Group 728"/>
                        <wpg:cNvGrpSpPr/>
                        <wpg:grpSpPr>
                          <a:xfrm>
                            <a:off x="2647950" y="2194555"/>
                            <a:ext cx="430530" cy="350518"/>
                            <a:chOff x="2647950" y="2194560"/>
                            <a:chExt cx="430530" cy="906780"/>
                          </a:xfrm>
                        </wpg:grpSpPr>
                        <wps:wsp>
                          <wps:cNvPr id="729" name="Text Box 2"/>
                          <wps:cNvSpPr txBox="1">
                            <a:spLocks noChangeArrowheads="1"/>
                          </wps:cNvSpPr>
                          <wps:spPr bwMode="auto">
                            <a:xfrm>
                              <a:off x="2647950" y="2254622"/>
                              <a:ext cx="400050" cy="769425"/>
                            </a:xfrm>
                            <a:prstGeom prst="rect">
                              <a:avLst/>
                            </a:prstGeom>
                            <a:solidFill>
                              <a:srgbClr val="FFFFFF"/>
                            </a:solidFill>
                            <a:ln w="9525">
                              <a:noFill/>
                              <a:miter lim="800000"/>
                              <a:headEnd/>
                              <a:tailEnd/>
                            </a:ln>
                          </wps:spPr>
                          <wps:txb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730" name="Down Arrow 730"/>
                          <wps:cNvSpPr/>
                          <wps:spPr>
                            <a:xfrm>
                              <a:off x="3017520" y="219456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wgp>
                  </a:graphicData>
                </a:graphic>
                <wp14:sizeRelH relativeFrom="margin">
                  <wp14:pctWidth>0</wp14:pctWidth>
                </wp14:sizeRelH>
                <wp14:sizeRelV relativeFrom="margin">
                  <wp14:pctHeight>0</wp14:pctHeight>
                </wp14:sizeRelV>
              </wp:anchor>
            </w:drawing>
          </mc:Choice>
          <mc:Fallback>
            <w:pict>
              <v:group w14:anchorId="3FEB7FD4" id="Group 2" o:spid="_x0000_s1026" style="position:absolute;margin-left:21pt;margin-top:20.2pt;width:483.55pt;height:716.4pt;z-index:251659264;mso-position-horizontal-relative:margin;mso-width-relative:margin;mso-height-relative:margin" coordorigin="-456" coordsize="61340,9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">
                <v:shapetype id="_x0000_t202" coordsize="21600,21600" o:spt="202" path="m,l,21600r21600,l21600,xe">
                  <v:stroke joinstyle="miter"/>
                  <v:path gradientshapeok="t" o:connecttype="rect"/>
                </v:shapetype>
                <v:shape id="Text Box 704" o:spid="_x0000_s1027" type="#_x0000_t202" style="position:absolute;left:48996;top:49611;width:4001;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" stroked="f">
                  <v:textbo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Text Box 2" o:spid="_x0000_s1028" type="#_x0000_t202" style="position:absolute;left:12268;top:12801;width:36500;height:8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">
                  <v:textbox>
                    <w:txbxContent>
                      <w:p w:rsidR="00C8106D" w:rsidRDefault="00C8106D" w:rsidP="00C8106D">
                        <w:pPr>
                          <w:pStyle w:val="NormalWeb"/>
                          <w:spacing w:before="0" w:beforeAutospacing="0" w:after="160" w:afterAutospacing="0" w:line="256" w:lineRule="auto"/>
                        </w:pPr>
                        <w:r>
                          <w:rPr>
                            <w:rFonts w:ascii="Calibri" w:eastAsia="Calibri" w:hAnsi="Calibri"/>
                            <w:sz w:val="22"/>
                            <w:szCs w:val="22"/>
                          </w:rPr>
                          <w:t>Is the activity of the avoided PE such that, as a result of section 1144 CTA10, the foreign company would not be treated as carrying on a trade in the UK through a permanent establishment by reason of that activity?</w:t>
                        </w:r>
                      </w:p>
                    </w:txbxContent>
                  </v:textbox>
                </v:shape>
                <v:shape id="Text Box 2" o:spid="_x0000_s1029" type="#_x0000_t202" style="position:absolute;left:-456;top:56819;width:61111;height:35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">
                  <v:textbox>
                    <w:txbxContent>
                      <w:p w:rsidR="00C8106D" w:rsidRDefault="00C8106D" w:rsidP="00C8106D">
                        <w:pPr>
                          <w:pStyle w:val="NormalWeb"/>
                          <w:spacing w:before="0" w:beforeAutospacing="0" w:after="0" w:afterAutospacing="0" w:line="256" w:lineRule="auto"/>
                        </w:pPr>
                        <w:r>
                          <w:rPr>
                            <w:rFonts w:ascii="Verdana" w:hAnsi="Verdana"/>
                            <w:b/>
                            <w:bCs/>
                            <w:color w:val="000000"/>
                            <w:sz w:val="16"/>
                            <w:szCs w:val="16"/>
                          </w:rPr>
                          <w:t>1142 Agent of independent status</w:t>
                        </w:r>
                      </w:p>
                      <w:p w:rsidR="00C8106D" w:rsidRDefault="00C8106D" w:rsidP="00C8106D">
                        <w:pPr>
                          <w:pStyle w:val="NormalWeb"/>
                          <w:spacing w:before="0" w:beforeAutospacing="0" w:after="75" w:afterAutospacing="0" w:line="256" w:lineRule="auto"/>
                        </w:pPr>
                        <w:r>
                          <w:rPr>
                            <w:rFonts w:ascii="Verdana" w:hAnsi="Verdana"/>
                            <w:color w:val="000000"/>
                            <w:sz w:val="16"/>
                            <w:szCs w:val="16"/>
                          </w:rPr>
                          <w:t>(1) A company is not regarded as having a permanent establishment in a territory by reason of the fact that it carries on business there through an agent of independent status acting in the ordinary course of the agent's business.</w:t>
                        </w:r>
                      </w:p>
                      <w:p w:rsidR="00C8106D" w:rsidRDefault="00C8106D" w:rsidP="00C8106D">
                        <w:pPr>
                          <w:pStyle w:val="NormalWeb"/>
                          <w:spacing w:before="0" w:beforeAutospacing="0" w:after="75" w:afterAutospacing="0" w:line="256" w:lineRule="auto"/>
                        </w:pPr>
                        <w:r>
                          <w:rPr>
                            <w:rFonts w:ascii="Verdana" w:hAnsi="Verdana"/>
                            <w:color w:val="000000"/>
                            <w:sz w:val="16"/>
                            <w:szCs w:val="16"/>
                          </w:rPr>
                          <w:t>(2) Sections 1145 to 1151 apply for the purpose of supplementing subsection (1) in relation to transactions carried out on behalf of a non-UK resident company by a person in the United Kingdom acting as—</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a</w:t>
                        </w:r>
                        <w:r>
                          <w:rPr>
                            <w:rFonts w:ascii="Verdana" w:hAnsi="Verdana"/>
                            <w:color w:val="000000"/>
                            <w:sz w:val="16"/>
                            <w:szCs w:val="16"/>
                          </w:rPr>
                          <w:t>) a broker (section 1145),</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b</w:t>
                        </w:r>
                        <w:r>
                          <w:rPr>
                            <w:rFonts w:ascii="Verdana" w:hAnsi="Verdana"/>
                            <w:color w:val="000000"/>
                            <w:sz w:val="16"/>
                            <w:szCs w:val="16"/>
                          </w:rPr>
                          <w:t>) an investment manager (sections 1146 to 1150), or</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c</w:t>
                        </w:r>
                        <w:r>
                          <w:rPr>
                            <w:rFonts w:ascii="Verdana" w:hAnsi="Verdana"/>
                            <w:color w:val="000000"/>
                            <w:sz w:val="16"/>
                            <w:szCs w:val="16"/>
                          </w:rPr>
                          <w:t>) a members' or managing agent at Lloyd's (section 1151).</w:t>
                        </w:r>
                        <w:r>
                          <w:rPr>
                            <w:rFonts w:ascii="Calibri" w:eastAsia="Calibri" w:hAnsi="Calibri"/>
                            <w:sz w:val="22"/>
                            <w:szCs w:val="22"/>
                          </w:rPr>
                          <w:t> </w:t>
                        </w:r>
                      </w:p>
                      <w:p w:rsidR="00C8106D" w:rsidRDefault="00C8106D" w:rsidP="00C8106D">
                        <w:pPr>
                          <w:pStyle w:val="NormalWeb"/>
                          <w:spacing w:before="0" w:beforeAutospacing="0" w:after="0" w:afterAutospacing="0" w:line="256" w:lineRule="auto"/>
                        </w:pPr>
                        <w:r>
                          <w:rPr>
                            <w:rFonts w:ascii="Verdana" w:hAnsi="Verdana"/>
                            <w:b/>
                            <w:bCs/>
                            <w:color w:val="000000"/>
                            <w:sz w:val="16"/>
                            <w:szCs w:val="16"/>
                          </w:rPr>
                          <w:t>1144 Alternative finance arrangements</w:t>
                        </w:r>
                      </w:p>
                      <w:p w:rsidR="00C8106D" w:rsidRDefault="00C8106D" w:rsidP="00C8106D">
                        <w:pPr>
                          <w:pStyle w:val="NormalWeb"/>
                          <w:spacing w:before="0" w:beforeAutospacing="0" w:after="75" w:afterAutospacing="0" w:line="256" w:lineRule="auto"/>
                        </w:pPr>
                        <w:r>
                          <w:rPr>
                            <w:rFonts w:ascii="Verdana" w:hAnsi="Verdana"/>
                            <w:color w:val="000000"/>
                            <w:sz w:val="16"/>
                            <w:szCs w:val="16"/>
                          </w:rPr>
                          <w:t>(1) Subsection (2) applies if alternative finance return is paid to a non-UK resident company.</w:t>
                        </w:r>
                      </w:p>
                      <w:p w:rsidR="00C8106D" w:rsidRDefault="00C8106D" w:rsidP="00C8106D">
                        <w:pPr>
                          <w:pStyle w:val="NormalWeb"/>
                          <w:spacing w:before="0" w:beforeAutospacing="0" w:after="75" w:afterAutospacing="0" w:line="256" w:lineRule="auto"/>
                        </w:pPr>
                        <w:r>
                          <w:rPr>
                            <w:rFonts w:ascii="Verdana" w:hAnsi="Verdana"/>
                            <w:color w:val="000000"/>
                            <w:sz w:val="18"/>
                            <w:szCs w:val="18"/>
                          </w:rPr>
                          <w:t>(</w:t>
                        </w:r>
                        <w:r>
                          <w:rPr>
                            <w:rFonts w:ascii="Verdana" w:hAnsi="Verdana"/>
                            <w:color w:val="000000"/>
                            <w:sz w:val="16"/>
                            <w:szCs w:val="16"/>
                          </w:rPr>
                          <w:t>2) The company is not regarded as having a permanent establishment in the United Kingdom merely by virtue of anything done for the purposes of the alternative finance arrangements—</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a</w:t>
                        </w:r>
                        <w:r>
                          <w:rPr>
                            <w:rFonts w:ascii="Verdana" w:hAnsi="Verdana"/>
                            <w:color w:val="000000"/>
                            <w:sz w:val="16"/>
                            <w:szCs w:val="16"/>
                          </w:rPr>
                          <w:t>) by the other party to the arrangements, or</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b</w:t>
                        </w:r>
                        <w:r>
                          <w:rPr>
                            <w:rFonts w:ascii="Verdana" w:hAnsi="Verdana"/>
                            <w:color w:val="000000"/>
                            <w:sz w:val="16"/>
                            <w:szCs w:val="16"/>
                          </w:rPr>
                          <w:t>) by any other person acting for the company in relation to the arrangements.</w:t>
                        </w:r>
                      </w:p>
                      <w:p w:rsidR="00C8106D" w:rsidRDefault="00C8106D" w:rsidP="00C8106D">
                        <w:pPr>
                          <w:pStyle w:val="NormalWeb"/>
                          <w:spacing w:before="0" w:beforeAutospacing="0" w:after="75" w:afterAutospacing="0" w:line="256" w:lineRule="auto"/>
                        </w:pPr>
                        <w:r>
                          <w:rPr>
                            <w:rFonts w:ascii="Verdana" w:hAnsi="Verdana"/>
                            <w:color w:val="000000"/>
                            <w:sz w:val="16"/>
                            <w:szCs w:val="16"/>
                          </w:rPr>
                          <w:t>(3) In subsection (1) “alternative finance return” means alternative finance return within the application of—</w:t>
                        </w:r>
                      </w:p>
                      <w:p w:rsidR="00C8106D" w:rsidRDefault="00C8106D" w:rsidP="00C8106D">
                        <w:pPr>
                          <w:pStyle w:val="NormalWeb"/>
                          <w:spacing w:before="0" w:beforeAutospacing="0" w:after="75" w:afterAutospacing="0" w:line="256" w:lineRule="auto"/>
                          <w:ind w:firstLine="720"/>
                        </w:pPr>
                        <w:r>
                          <w:rPr>
                            <w:rFonts w:ascii="Verdana" w:hAnsi="Verdana"/>
                            <w:color w:val="000000"/>
                            <w:sz w:val="16"/>
                            <w:szCs w:val="16"/>
                          </w:rPr>
                          <w:t>(</w:t>
                        </w:r>
                        <w:r>
                          <w:rPr>
                            <w:rFonts w:ascii="Verdana" w:hAnsi="Verdana"/>
                            <w:i/>
                            <w:iCs/>
                            <w:color w:val="000000"/>
                            <w:sz w:val="16"/>
                            <w:szCs w:val="16"/>
                          </w:rPr>
                          <w:t>a</w:t>
                        </w:r>
                        <w:r>
                          <w:rPr>
                            <w:rFonts w:ascii="Verdana" w:hAnsi="Verdana"/>
                            <w:color w:val="000000"/>
                            <w:sz w:val="16"/>
                            <w:szCs w:val="16"/>
                          </w:rPr>
                          <w:t xml:space="preserve">) section 564I, 564K or 564L(2) or (3) of </w:t>
                        </w:r>
                        <w:hyperlink r:id="rId8" w:history="1">
                          <w:r>
                            <w:rPr>
                              <w:rStyle w:val="Hyperlink"/>
                              <w:rFonts w:ascii="Verdana" w:hAnsi="Verdana"/>
                              <w:sz w:val="16"/>
                              <w:szCs w:val="16"/>
                            </w:rPr>
                            <w:t xml:space="preserve">ITA 2007, </w:t>
                          </w:r>
                        </w:hyperlink>
                        <w:r>
                          <w:rPr>
                            <w:rFonts w:ascii="Verdana" w:hAnsi="Verdana"/>
                            <w:color w:val="000000"/>
                            <w:sz w:val="16"/>
                            <w:szCs w:val="16"/>
                          </w:rPr>
                          <w:t>or</w:t>
                        </w:r>
                      </w:p>
                      <w:p w:rsidR="00C8106D" w:rsidRDefault="00C8106D" w:rsidP="00C8106D">
                        <w:pPr>
                          <w:pStyle w:val="NormalWeb"/>
                          <w:spacing w:before="0" w:beforeAutospacing="0" w:after="75" w:afterAutospacing="0" w:line="256" w:lineRule="auto"/>
                          <w:ind w:firstLine="720"/>
                        </w:pPr>
                        <w:r>
                          <w:rPr>
                            <w:rFonts w:ascii="Verdana" w:hAnsi="Verdana"/>
                            <w:color w:val="000000"/>
                            <w:sz w:val="18"/>
                            <w:szCs w:val="18"/>
                          </w:rPr>
                          <w:t>(</w:t>
                        </w:r>
                        <w:r>
                          <w:rPr>
                            <w:rFonts w:ascii="Verdana" w:hAnsi="Verdana"/>
                            <w:i/>
                            <w:iCs/>
                            <w:color w:val="000000"/>
                            <w:sz w:val="18"/>
                            <w:szCs w:val="18"/>
                          </w:rPr>
                          <w:t>b</w:t>
                        </w:r>
                        <w:r>
                          <w:rPr>
                            <w:rFonts w:ascii="Verdana" w:hAnsi="Verdana"/>
                            <w:color w:val="000000"/>
                            <w:sz w:val="18"/>
                            <w:szCs w:val="18"/>
                          </w:rPr>
                          <w:t xml:space="preserve">) section 511, 512 or 513(2) or (3) of </w:t>
                        </w:r>
                        <w:hyperlink r:id="rId9" w:history="1">
                          <w:r>
                            <w:rPr>
                              <w:rStyle w:val="Hyperlink"/>
                              <w:rFonts w:ascii="Verdana" w:hAnsi="Verdana"/>
                              <w:sz w:val="18"/>
                              <w:szCs w:val="18"/>
                            </w:rPr>
                            <w:t>CTA 2009</w:t>
                          </w:r>
                        </w:hyperlink>
                        <w:r>
                          <w:rPr>
                            <w:rFonts w:ascii="Verdana" w:hAnsi="Verdana"/>
                            <w:color w:val="000000"/>
                            <w:sz w:val="18"/>
                            <w:szCs w:val="18"/>
                          </w:rPr>
                          <w:t>.</w:t>
                        </w:r>
                      </w:p>
                      <w:p w:rsidR="00C8106D" w:rsidRDefault="00C8106D" w:rsidP="00C8106D">
                        <w:pPr>
                          <w:pStyle w:val="NormalWeb"/>
                          <w:spacing w:before="0" w:beforeAutospacing="0" w:after="75" w:afterAutospacing="0" w:line="256" w:lineRule="auto"/>
                        </w:pPr>
                        <w:r>
                          <w:rPr>
                            <w:rFonts w:ascii="Verdana" w:hAnsi="Verdana"/>
                            <w:color w:val="000000"/>
                            <w:sz w:val="16"/>
                            <w:szCs w:val="16"/>
                          </w:rPr>
                          <w:t>(4) In subsection (2) the reference to “the alternative finance arrangements” is a reference to the alternative finance arrangements under which the alternative finance return mentioned in subsection (1) is paid.</w:t>
                        </w:r>
                        <w:r>
                          <w:rPr>
                            <w:rFonts w:ascii="Calibri" w:eastAsia="Calibri" w:hAnsi="Calibri"/>
                            <w:sz w:val="22"/>
                            <w:szCs w:val="22"/>
                          </w:rPr>
                          <w:t> </w:t>
                        </w:r>
                      </w:p>
                    </w:txbxContent>
                  </v:textbox>
                </v:shape>
                <v:shape id="Text Box 2" o:spid="_x0000_s1030" type="#_x0000_t202" style="position:absolute;left:51816;top:26593;width:9029;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">
                  <v:textbox>
                    <w:txbxContent>
                      <w:p w:rsidR="00C8106D" w:rsidRDefault="00C8106D" w:rsidP="00C8106D">
                        <w:pPr>
                          <w:pStyle w:val="NormalWeb"/>
                          <w:spacing w:before="0" w:beforeAutospacing="0" w:after="0" w:afterAutospacing="0" w:line="256" w:lineRule="auto"/>
                        </w:pPr>
                        <w:r>
                          <w:rPr>
                            <w:rFonts w:ascii="Calibri" w:eastAsia="Calibri" w:hAnsi="Calibri"/>
                            <w:sz w:val="22"/>
                            <w:szCs w:val="22"/>
                          </w:rPr>
                          <w:t xml:space="preserve">The avoided PE </w:t>
                        </w:r>
                        <w:r>
                          <w:rPr>
                            <w:rFonts w:ascii="Calibri" w:eastAsia="Calibri" w:hAnsi="Calibri"/>
                            <w:b/>
                            <w:bCs/>
                            <w:sz w:val="22"/>
                            <w:szCs w:val="22"/>
                            <w:u w:val="single"/>
                          </w:rPr>
                          <w:t>IS</w:t>
                        </w:r>
                        <w:r>
                          <w:rPr>
                            <w:rFonts w:ascii="Calibri" w:eastAsia="Calibri" w:hAnsi="Calibri"/>
                            <w:sz w:val="22"/>
                            <w:szCs w:val="22"/>
                          </w:rPr>
                          <w:t xml:space="preserve"> ‘excepted’.</w:t>
                        </w:r>
                      </w:p>
                    </w:txbxContent>
                  </v:textbox>
                </v:shape>
                <v:shape id="Text Box 2" o:spid="_x0000_s1031" type="#_x0000_t202" style="position:absolute;left:12115;top:38404;width:36576;height:7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">
                  <v:textbox>
                    <w:txbxContent>
                      <w:p w:rsidR="00C8106D" w:rsidRDefault="00C8106D" w:rsidP="00C8106D">
                        <w:pPr>
                          <w:pStyle w:val="NormalWeb"/>
                          <w:spacing w:before="0" w:beforeAutospacing="0" w:after="0" w:afterAutospacing="0" w:line="256" w:lineRule="auto"/>
                        </w:pPr>
                        <w:r>
                          <w:rPr>
                            <w:rFonts w:ascii="Calibri" w:eastAsia="Calibri" w:hAnsi="Calibri"/>
                            <w:sz w:val="22"/>
                            <w:szCs w:val="22"/>
                          </w:rPr>
                          <w:t>Is the avoided PE regarded for the purposes of section 1142(1) as an agent of independent status by virtue of sections 1145, 1146 or 1151 of CTA10?</w:t>
                        </w:r>
                      </w:p>
                    </w:txbxContent>
                  </v:textbox>
                </v:shape>
                <v:shape id="Text Box 2" o:spid="_x0000_s1032" type="#_x0000_t202" style="position:absolute;left:76;top:37414;width:10363;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">
                  <v:textbox>
                    <w:txbxContent>
                      <w:p w:rsidR="00C8106D" w:rsidRDefault="00C8106D" w:rsidP="00C8106D">
                        <w:pPr>
                          <w:pStyle w:val="NormalWeb"/>
                          <w:spacing w:before="0" w:beforeAutospacing="0" w:after="0" w:afterAutospacing="0" w:line="256" w:lineRule="auto"/>
                        </w:pPr>
                        <w:r>
                          <w:rPr>
                            <w:rFonts w:ascii="Calibri" w:eastAsia="Calibri" w:hAnsi="Calibri"/>
                            <w:sz w:val="22"/>
                            <w:szCs w:val="22"/>
                          </w:rPr>
                          <w:t xml:space="preserve">The avoided PE is </w:t>
                        </w:r>
                        <w:r>
                          <w:rPr>
                            <w:rFonts w:ascii="Calibri" w:eastAsia="Calibri" w:hAnsi="Calibri"/>
                            <w:b/>
                            <w:bCs/>
                            <w:sz w:val="22"/>
                            <w:szCs w:val="22"/>
                            <w:u w:val="single"/>
                          </w:rPr>
                          <w:t>NOT</w:t>
                        </w:r>
                        <w:r>
                          <w:rPr>
                            <w:rFonts w:ascii="Calibri" w:eastAsia="Calibri" w:hAnsi="Calibri"/>
                            <w:sz w:val="22"/>
                            <w:szCs w:val="22"/>
                          </w:rPr>
                          <w:t xml:space="preserve"> ‘excepted’ by section 86.</w:t>
                        </w:r>
                      </w:p>
                    </w:txbxContent>
                  </v:textbox>
                </v:shape>
                <v:shape id="Text Box 2" o:spid="_x0000_s1033" type="#_x0000_t202" style="position:absolute;width:6088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">
                  <v:textbox>
                    <w:txbxContent>
                      <w:p w:rsidR="00C8106D" w:rsidRDefault="00C8106D" w:rsidP="00C8106D">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Avoided PE</w:t>
                        </w:r>
                        <w:r>
                          <w:rPr>
                            <w:rFonts w:ascii="Calibri" w:eastAsia="Calibri" w:hAnsi="Calibri"/>
                            <w:sz w:val="22"/>
                            <w:szCs w:val="22"/>
                          </w:rPr>
                          <w:t>’ as per section 86(1)(c):</w:t>
                        </w:r>
                      </w:p>
                      <w:p w:rsidR="00C8106D" w:rsidRDefault="00C8106D" w:rsidP="00C8106D">
                        <w:pPr>
                          <w:pStyle w:val="NormalWeb"/>
                          <w:spacing w:before="0" w:beforeAutospacing="0" w:after="0" w:afterAutospacing="0"/>
                        </w:pPr>
                        <w:r>
                          <w:rPr>
                            <w:rFonts w:ascii="Calibri" w:eastAsia="Calibri" w:hAnsi="Calibri" w:cs="Times New Roman PSMT"/>
                            <w:i/>
                            <w:iCs/>
                            <w:color w:val="000000"/>
                            <w:sz w:val="22"/>
                            <w:szCs w:val="22"/>
                          </w:rPr>
                          <w:t>“a person (“the avoided PE”), whether or not UK resident, is carrying on activity in the United Kingdom in that period in connection with supplies of services, goods or other property made by the foreign company in the course of that trade”</w:t>
                        </w:r>
                      </w:p>
                    </w:txbxContent>
                  </v:textbox>
                </v:shape>
                <v:shape id="Text Box 2" o:spid="_x0000_s1034" type="#_x0000_t202" style="position:absolute;left:12192;top:49377;width:36499;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">
                  <v:textbox>
                    <w:txbxContent>
                      <w:p w:rsidR="00C8106D" w:rsidRDefault="00C8106D" w:rsidP="00C8106D">
                        <w:pPr>
                          <w:pStyle w:val="NormalWeb"/>
                          <w:spacing w:before="0" w:beforeAutospacing="0" w:after="0" w:afterAutospacing="0" w:line="256" w:lineRule="auto"/>
                        </w:pPr>
                        <w:r>
                          <w:rPr>
                            <w:rFonts w:ascii="Calibri" w:eastAsia="Calibri" w:hAnsi="Calibri"/>
                            <w:sz w:val="22"/>
                            <w:szCs w:val="22"/>
                          </w:rPr>
                          <w:t>Are the foreign company and the avoided PE connected at any time in the relevant accounting period?</w:t>
                        </w:r>
                      </w:p>
                    </w:txbxContent>
                  </v:textbox>
                </v:shape>
                <v:shape id="Text Box 2" o:spid="_x0000_s1035" type="#_x0000_t202" style="position:absolute;left:12344;top:25527;width:3650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">
                  <v:textbox>
                    <w:txbxContent>
                      <w:p w:rsidR="00C8106D" w:rsidRDefault="00C8106D" w:rsidP="00C8106D">
                        <w:pPr>
                          <w:pStyle w:val="NormalWeb"/>
                          <w:spacing w:before="0" w:beforeAutospacing="0" w:after="160" w:afterAutospacing="0" w:line="256" w:lineRule="auto"/>
                        </w:pPr>
                        <w:r>
                          <w:rPr>
                            <w:rFonts w:ascii="Calibri" w:eastAsia="Calibri" w:hAnsi="Calibri"/>
                            <w:sz w:val="22"/>
                            <w:szCs w:val="22"/>
                          </w:rPr>
                          <w:t>Is the activity of the avoided PE such that, as a result of section 1142 CTA10, the foreign company would not be treated as carrying on a trade in the UK through a permanent establishment by reason of that activity?</w:t>
                        </w:r>
                      </w:p>
                    </w:txbxContent>
                  </v:textbox>
                </v:shape>
                <v:shape id="Bent-Up Arrow 713" o:spid="_x0000_s1036" style="position:absolute;left:48996;top:17068;width:8687;height:9373;flip:y;visibility:visible;mso-wrap-style:square;v-text-anchor:top" coordsize="868680,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" path="m,888223r746339,l746339,89769r-73303,l770858,r97822,89769l795376,89769r,847491l,937260,,888223xe" fillcolor="#5b9bd5" strokecolor="#41719c" strokeweight="2.5pt">
                  <v:stroke joinstyle="miter"/>
                  <v:path arrowok="t" o:connecttype="custom" o:connectlocs="0,888223;746339,888223;746339,89769;673036,89769;770858,0;868680,89769;795376,89769;795376,937260;0,937260;0,888223" o:connectangles="0,0,0,0,0,0,0,0,0,0"/>
                </v:shape>
                <v:shape id="Text Box 2" o:spid="_x0000_s1037" type="#_x0000_t202" style="position:absolute;left:49525;top:13311;width:4191;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" stroked="f">
                  <v:textbo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YES</w:t>
                        </w:r>
                      </w:p>
                    </w:txbxContent>
                  </v:textbox>
                </v:shape>
                <v:group id="Group 715" o:spid="_x0000_s1038" style="position:absolute;left:48844;top:39319;width:7391;height:3048" coordorigin="48844,39319" coordsize="18211,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shape id="Text Box 2" o:spid="_x0000_s1039" type="#_x0000_t202" style="position:absolute;left:50263;top:39319;width:13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" stroked="f">
                    <v:textbo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17" o:spid="_x0000_s1040" type="#_x0000_t13" style="position:absolute;left:48844;top:41224;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" adj="21329" fillcolor="#5b9bd5" strokecolor="#41719c" strokeweight="2.5pt"/>
                </v:group>
                <v:shape id="Bent-Up Arrow 718" o:spid="_x0000_s1041" style="position:absolute;left:48844;top:33832;width:8839;height:18746;visibility:visible;mso-wrap-style:square;v-text-anchor:top" coordsize="883920,187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" path="m,1824623r759433,l759433,91344r-74589,l784382,r99538,91344l809330,91344r,1783176l,1874520r,-49897xe" fillcolor="#5b9bd5" strokecolor="#41719c" strokeweight="2.5pt">
                  <v:stroke joinstyle="miter"/>
                  <v:path arrowok="t" o:connecttype="custom" o:connectlocs="0,1824623;759433,1824623;759433,91344;684844,91344;784382,0;883920,91344;809330,91344;809330,1874520;0,1874520;0,1824623" o:connectangles="0,0,0,0,0,0,0,0,0,0"/>
                </v:shape>
                <v:shape id="Bent-Up Arrow 719" o:spid="_x0000_s1042" style="position:absolute;left:3352;top:46634;width:8763;height:5563;flip:x;visibility:visible;mso-wrap-style:square;v-text-anchor:top" coordsize="87630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" path="m,524859r797959,l797959,57484r-46940,l813660,r62640,57484l829360,57484r,498776l,556260,,524859xe" fillcolor="#5b9bd5" strokecolor="#41719c" strokeweight="2.5pt">
                  <v:stroke joinstyle="miter"/>
                  <v:path arrowok="t" o:connecttype="custom" o:connectlocs="0,524859;797959,524859;797959,57484;751019,57484;813660,0;876300,57484;829360,57484;829360,556260;0,556260;0,524859" o:connectangles="0,0,0,0,0,0,0,0,0,0"/>
                </v:shape>
                <v:shape id="Bent-Up Arrow 720" o:spid="_x0000_s1043" style="position:absolute;left:3352;top:29870;width:8840;height:7239;flip:x y;visibility:visible;mso-wrap-style:square;v-text-anchor:top" coordsize="88392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" path="m,683036r781970,l781970,74808r-61087,l802402,r81518,74808l822834,74808r,649092l,723900,,683036xe" fillcolor="#5b9bd5" strokecolor="#41719c" strokeweight="2.5pt">
                  <v:stroke joinstyle="miter"/>
                  <v:path arrowok="t" o:connecttype="custom" o:connectlocs="0,683036;781970,683036;781970,74808;720883,74808;802402,0;883920,74808;822834,74808;822834,723900;0,723900;0,683036" o:connectangles="0,0,0,0,0,0,0,0,0,0"/>
                </v:shape>
                <v:shape id="Text Box 2" o:spid="_x0000_s1044" type="#_x0000_t202" style="position:absolute;left:7010;top:26904;width:4000;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" stroked="f">
                  <v:textbo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NO</w:t>
                        </w:r>
                      </w:p>
                    </w:txbxContent>
                  </v:textbox>
                </v:shape>
                <v:group id="Group 722" o:spid="_x0000_s1045" style="position:absolute;left:26479;top:34823;width:4534;height:3366" coordorigin="26479,34823" coordsize="4533,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shape id="Text Box 2" o:spid="_x0000_s1046" type="#_x0000_t202" style="position:absolute;left:26479;top:35589;width:4001;height:8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" stroked="f">
                    <v:textbo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24" o:spid="_x0000_s1047" type="#_x0000_t67" style="position:absolute;left:30403;top:34823;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" adj="20874" fillcolor="#5b9bd5" strokecolor="#41719c" strokeweight="2.5pt"/>
                </v:group>
                <v:group id="Group 725" o:spid="_x0000_s1048" style="position:absolute;left:26370;top:45872;width:4719;height:3429" coordorigin="26370,45872" coordsize="4719,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Text Box 2" o:spid="_x0000_s1049" type="#_x0000_t202" style="position:absolute;left:26370;top:47206;width:4110;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" stroked="f">
                    <v:textbo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727" o:spid="_x0000_s1050" type="#_x0000_t67" style="position:absolute;left:30480;top:45872;width:60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" adj="20874" fillcolor="#5b9bd5" strokecolor="#41719c" strokeweight="2.5pt"/>
                </v:group>
                <v:group id="Group 728" o:spid="_x0000_s1051" style="position:absolute;left:26479;top:21945;width:4305;height:3505" coordorigin="26479,21945" coordsize="4305,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Text Box 2" o:spid="_x0000_s1052" type="#_x0000_t202" style="position:absolute;left:26479;top:22546;width:4001;height:7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" stroked="f">
                    <v:textbox>
                      <w:txbxContent>
                        <w:p w:rsidR="00C8106D" w:rsidRDefault="00C8106D" w:rsidP="00C8106D">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730" o:spid="_x0000_s1053" type="#_x0000_t67" style="position:absolute;left:30175;top:21945;width:60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" adj="20874" fillcolor="#5b9bd5" strokecolor="#41719c" strokeweight="2.5pt"/>
                </v:group>
                <w10:wrap anchorx="margin"/>
              </v:group>
            </w:pict>
          </mc:Fallback>
        </mc:AlternateContent>
      </w:r>
    </w:p>
    <w:p w:rsidR="00C8106D" w:rsidRPr="009C6E86" w:rsidRDefault="00C8106D" w:rsidP="00C8106D">
      <w:pPr>
        <w:rPr>
          <w:rFonts w:ascii="Arial" w:hAnsi="Arial" w:cs="Arial"/>
        </w:rPr>
      </w:pPr>
    </w:p>
    <w:p w:rsidR="00C8106D" w:rsidRPr="009C6E86" w:rsidRDefault="00C8106D" w:rsidP="00C8106D">
      <w:pPr>
        <w:rPr>
          <w:rFonts w:ascii="Arial" w:hAnsi="Arial" w:cs="Arial"/>
        </w:rPr>
      </w:pPr>
    </w:p>
    <w:p w:rsidR="00C8106D" w:rsidRPr="009C6E86" w:rsidRDefault="00C8106D" w:rsidP="00C8106D">
      <w:pPr>
        <w:tabs>
          <w:tab w:val="left" w:pos="3435"/>
        </w:tabs>
        <w:rPr>
          <w:rFonts w:ascii="Arial" w:hAnsi="Arial" w:cs="Arial"/>
          <w:b/>
          <w:u w:val="single"/>
        </w:rPr>
      </w:pPr>
    </w:p>
    <w:p w:rsidR="00C8106D" w:rsidRPr="009C6E86" w:rsidRDefault="00C8106D" w:rsidP="00C8106D">
      <w:pPr>
        <w:rPr>
          <w:rFonts w:ascii="Arial" w:hAnsi="Arial" w:cs="Arial"/>
          <w:b/>
          <w:u w:val="single"/>
        </w:rPr>
      </w:pPr>
    </w:p>
    <w:p w:rsidR="00C8106D" w:rsidRPr="009C6E86" w:rsidRDefault="00C8106D" w:rsidP="00C8106D">
      <w:pPr>
        <w:rPr>
          <w:rFonts w:ascii="Arial" w:hAnsi="Arial" w:cs="Arial"/>
          <w:b/>
          <w:u w:val="single"/>
        </w:rPr>
      </w:pPr>
    </w:p>
    <w:p w:rsidR="00C8106D" w:rsidRPr="009C6E86" w:rsidRDefault="00C8106D" w:rsidP="00C8106D">
      <w:pPr>
        <w:rPr>
          <w:rFonts w:ascii="Arial" w:hAnsi="Arial" w:cs="Arial"/>
          <w:b/>
          <w:u w:val="single"/>
        </w:rPr>
      </w:pPr>
    </w:p>
    <w:p w:rsidR="00C8106D" w:rsidRPr="009C6E86" w:rsidRDefault="00C8106D" w:rsidP="00C8106D">
      <w:pPr>
        <w:rPr>
          <w:rFonts w:ascii="Arial" w:hAnsi="Arial" w:cs="Arial"/>
          <w:b/>
          <w:u w:val="single"/>
        </w:rPr>
      </w:pPr>
    </w:p>
    <w:p w:rsidR="00C8106D" w:rsidRPr="009C6E86" w:rsidRDefault="00C8106D" w:rsidP="00C8106D">
      <w:pPr>
        <w:rPr>
          <w:rFonts w:ascii="Arial" w:hAnsi="Arial" w:cs="Arial"/>
          <w:b/>
          <w:u w:val="single"/>
        </w:rPr>
      </w:pPr>
    </w:p>
    <w:p w:rsidR="00C8106D" w:rsidRPr="009C6E86" w:rsidRDefault="00C8106D" w:rsidP="00C8106D">
      <w:pPr>
        <w:rPr>
          <w:rFonts w:ascii="Arial" w:hAnsi="Arial" w:cs="Arial"/>
          <w:b/>
          <w:u w:val="single"/>
        </w:rPr>
      </w:pPr>
    </w:p>
    <w:p w:rsidR="00C8106D" w:rsidRPr="009C6E86" w:rsidRDefault="00C8106D" w:rsidP="00C8106D">
      <w:pPr>
        <w:rPr>
          <w:rFonts w:ascii="Arial" w:hAnsi="Arial" w:cs="Arial"/>
          <w:b/>
          <w:u w:val="single"/>
        </w:rPr>
      </w:pPr>
    </w:p>
    <w:p w:rsidR="00C8106D" w:rsidRPr="009C6E86" w:rsidRDefault="00C8106D" w:rsidP="00C8106D">
      <w:pPr>
        <w:rPr>
          <w:rFonts w:ascii="Arial" w:hAnsi="Arial" w:cs="Arial"/>
          <w:b/>
          <w:u w:val="single"/>
        </w:rPr>
      </w:pPr>
    </w:p>
    <w:p w:rsidR="00C8106D" w:rsidRPr="009C6E86" w:rsidRDefault="00C8106D" w:rsidP="00C8106D">
      <w:pPr>
        <w:rPr>
          <w:rFonts w:ascii="Arial" w:hAnsi="Arial" w:cs="Arial"/>
          <w:b/>
          <w:u w:val="single"/>
        </w:rPr>
      </w:pPr>
    </w:p>
    <w:p w:rsidR="00C8106D" w:rsidRPr="009C6E86" w:rsidRDefault="00C8106D" w:rsidP="00C8106D">
      <w:pPr>
        <w:rPr>
          <w:rFonts w:ascii="Arial" w:hAnsi="Arial" w:cs="Arial"/>
          <w:b/>
          <w:u w:val="single"/>
        </w:rPr>
      </w:pPr>
    </w:p>
    <w:p w:rsidR="005D5B38" w:rsidRPr="00C8106D" w:rsidRDefault="005D5B38" w:rsidP="00C8106D"/>
    <w:sectPr w:rsidR="005D5B38" w:rsidRPr="00C8106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06D" w:rsidRDefault="00C8106D" w:rsidP="00C8106D">
      <w:pPr>
        <w:spacing w:after="0" w:line="240" w:lineRule="auto"/>
      </w:pPr>
      <w:r>
        <w:separator/>
      </w:r>
    </w:p>
  </w:endnote>
  <w:endnote w:type="continuationSeparator" w:id="0">
    <w:p w:rsidR="00C8106D" w:rsidRDefault="00C8106D" w:rsidP="00C8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PSMT">
    <w:altName w:val="Times New Roman"/>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6D" w:rsidRDefault="00C81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6D" w:rsidRDefault="00C8106D">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f6f1433eb19df15b427fbc9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8106D" w:rsidRPr="00C8106D" w:rsidRDefault="00C8106D" w:rsidP="00C8106D">
                          <w:pPr>
                            <w:spacing w:after="0"/>
                            <w:jc w:val="center"/>
                            <w:rPr>
                              <w:rFonts w:ascii="Calibri" w:hAnsi="Calibri" w:cs="Calibri"/>
                              <w:color w:val="000000"/>
                              <w:sz w:val="20"/>
                            </w:rPr>
                          </w:pPr>
                          <w:r w:rsidRPr="00C8106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6f1433eb19df15b427fbc98" o:spid="_x0000_s1054"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laBFThgDAAA3BgAADgAAAAAAAAAAAAAA&#10;AAAuAgAAZHJzL2Uyb0RvYy54bWxQSwECLQAUAAYACAAAACEAn9VB7N8AAAALAQAADwAAAAAAAAAA&#10;AAAAAAByBQAAZHJzL2Rvd25yZXYueG1sUEsFBgAAAAAEAAQA8wAAAH4GAAAAAA==&#10;" o:allowincell="f" filled="f" stroked="f" strokeweight=".5pt">
              <v:fill o:detectmouseclick="t"/>
              <v:textbox inset=",0,,0">
                <w:txbxContent>
                  <w:p w:rsidR="00C8106D" w:rsidRPr="00C8106D" w:rsidRDefault="00C8106D" w:rsidP="00C8106D">
                    <w:pPr>
                      <w:spacing w:after="0"/>
                      <w:jc w:val="center"/>
                      <w:rPr>
                        <w:rFonts w:ascii="Calibri" w:hAnsi="Calibri" w:cs="Calibri"/>
                        <w:color w:val="000000"/>
                        <w:sz w:val="20"/>
                      </w:rPr>
                    </w:pPr>
                    <w:r w:rsidRPr="00C8106D">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6D" w:rsidRDefault="00C81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06D" w:rsidRDefault="00C8106D" w:rsidP="00C8106D">
      <w:pPr>
        <w:spacing w:after="0" w:line="240" w:lineRule="auto"/>
      </w:pPr>
      <w:r>
        <w:separator/>
      </w:r>
    </w:p>
  </w:footnote>
  <w:footnote w:type="continuationSeparator" w:id="0">
    <w:p w:rsidR="00C8106D" w:rsidRDefault="00C8106D" w:rsidP="00C81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6D" w:rsidRDefault="00C81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6D" w:rsidRDefault="00C81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6D" w:rsidRDefault="00C810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6D"/>
    <w:rsid w:val="00093EC1"/>
    <w:rsid w:val="005D5B38"/>
    <w:rsid w:val="00BC4578"/>
    <w:rsid w:val="00C81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E5256"/>
  <w15:chartTrackingRefBased/>
  <w15:docId w15:val="{0DCDBAAC-93D4-4791-AC0D-01B9752F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8106D"/>
    <w:rPr>
      <w:color w:val="0000FF"/>
      <w:u w:val="single"/>
    </w:rPr>
  </w:style>
  <w:style w:type="paragraph" w:styleId="NormalWeb">
    <w:name w:val="Normal (Web)"/>
    <w:basedOn w:val="Normal"/>
    <w:uiPriority w:val="99"/>
    <w:unhideWhenUsed/>
    <w:rsid w:val="00C810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81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06D"/>
  </w:style>
  <w:style w:type="paragraph" w:styleId="Footer">
    <w:name w:val="footer"/>
    <w:basedOn w:val="Normal"/>
    <w:link w:val="FooterChar"/>
    <w:uiPriority w:val="99"/>
    <w:unhideWhenUsed/>
    <w:rsid w:val="00C81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active.hmrci/yhb/5567ac726cba40ea9370578a97dc8c53.htm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home.active.hmrci/yhb/3f1c6f2d770540078729c981959dc6f5.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home.active.hmrci/yhb/5567ac726cba40ea9370578a97dc8c53.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home.active.hmrci/yhb/3f1c6f2d770540078729c981959dc6f5.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Words>
  <Characters>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Dawn (CS&amp;TD)</dc:creator>
  <cp:keywords/>
  <dc:description/>
  <cp:lastModifiedBy>Paterson, Dawn (CS&amp;TD)</cp:lastModifiedBy>
  <cp:revision>1</cp:revision>
  <dcterms:created xsi:type="dcterms:W3CDTF">2020-12-09T12:22:00Z</dcterms:created>
  <dcterms:modified xsi:type="dcterms:W3CDTF">2020-12-09T12:23:00Z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2020-12-09T12:23:24Z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2c99fd13-6f6e-431d-b48d-9539a9a123f1</vt:lpwstr>
  </property>
  <property fmtid="{D5CDD505-2E9C-101B-9397-08002B2CF9AE}" pid="8" name="MSIP_Label_f9af038e-07b4-4369-a678-c835687cb272_ContentBits">
    <vt:lpwstr>2</vt:lpwstr>
  </property>
</Properties>
</file>